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4A" w:rsidRPr="00A5445E" w:rsidRDefault="00472F4A" w:rsidP="000836DE">
      <w:pPr>
        <w:jc w:val="center"/>
        <w:rPr>
          <w:b/>
          <w:lang w:val="en-US"/>
        </w:rPr>
      </w:pPr>
      <w:r w:rsidRPr="00A5445E">
        <w:rPr>
          <w:b/>
          <w:lang w:val="en-US"/>
        </w:rPr>
        <w:t>Al-</w:t>
      </w:r>
      <w:proofErr w:type="spellStart"/>
      <w:r w:rsidRPr="00A5445E">
        <w:rPr>
          <w:b/>
          <w:lang w:val="en-US"/>
        </w:rPr>
        <w:t>Farabi</w:t>
      </w:r>
      <w:proofErr w:type="spellEnd"/>
      <w:r w:rsidRPr="00A5445E">
        <w:rPr>
          <w:b/>
          <w:lang w:val="en-US"/>
        </w:rPr>
        <w:t xml:space="preserve"> Kazakh National University</w:t>
      </w:r>
    </w:p>
    <w:p w:rsidR="00472F4A" w:rsidRPr="00A5445E" w:rsidRDefault="00472F4A" w:rsidP="000836DE">
      <w:pPr>
        <w:jc w:val="center"/>
        <w:rPr>
          <w:b/>
          <w:lang w:val="en-US"/>
        </w:rPr>
      </w:pPr>
      <w:r w:rsidRPr="00A5445E">
        <w:rPr>
          <w:b/>
          <w:lang w:val="en-US"/>
        </w:rPr>
        <w:t xml:space="preserve"> Faculty of Physics and Technology </w:t>
      </w:r>
    </w:p>
    <w:p w:rsidR="00472F4A" w:rsidRPr="00A5445E" w:rsidRDefault="00472F4A" w:rsidP="000836DE">
      <w:pPr>
        <w:jc w:val="center"/>
        <w:rPr>
          <w:b/>
          <w:lang w:val="en-US"/>
        </w:rPr>
      </w:pPr>
      <w:r w:rsidRPr="00A5445E">
        <w:rPr>
          <w:b/>
          <w:lang w:val="en-US"/>
        </w:rPr>
        <w:t>Chair of Theoretical and Nuclear Physics</w:t>
      </w:r>
    </w:p>
    <w:p w:rsidR="00171098" w:rsidRPr="00A5445E" w:rsidRDefault="00171098" w:rsidP="000836DE">
      <w:pPr>
        <w:jc w:val="right"/>
        <w:rPr>
          <w:lang w:val="en-US"/>
        </w:rPr>
      </w:pPr>
    </w:p>
    <w:p w:rsidR="00171098" w:rsidRPr="00A5445E" w:rsidRDefault="00171098" w:rsidP="000836DE">
      <w:pPr>
        <w:jc w:val="right"/>
        <w:rPr>
          <w:lang w:val="en-US"/>
        </w:rPr>
      </w:pPr>
    </w:p>
    <w:p w:rsidR="006D7F89" w:rsidRPr="00A5445E" w:rsidRDefault="000C5E8E" w:rsidP="000836DE">
      <w:pPr>
        <w:jc w:val="center"/>
        <w:rPr>
          <w:b/>
          <w:lang w:val="kk-KZ"/>
        </w:rPr>
      </w:pPr>
      <w:r w:rsidRPr="00A5445E">
        <w:rPr>
          <w:b/>
          <w:lang w:val="en-US"/>
        </w:rPr>
        <w:t>Syllabus</w:t>
      </w:r>
    </w:p>
    <w:p w:rsidR="00472F4A" w:rsidRPr="00A5445E" w:rsidRDefault="007B6E13" w:rsidP="000836DE">
      <w:pPr>
        <w:jc w:val="center"/>
        <w:rPr>
          <w:b/>
          <w:bCs/>
          <w:lang w:val="en-US"/>
        </w:rPr>
      </w:pPr>
      <w:r w:rsidRPr="00A5445E">
        <w:rPr>
          <w:b/>
          <w:lang w:val="en-US"/>
        </w:rPr>
        <w:t>Spring</w:t>
      </w:r>
      <w:r w:rsidR="0082391D" w:rsidRPr="00A5445E">
        <w:rPr>
          <w:b/>
          <w:lang w:val="en-US"/>
        </w:rPr>
        <w:t xml:space="preserve"> </w:t>
      </w:r>
      <w:r w:rsidR="000C5E8E" w:rsidRPr="00A5445E">
        <w:rPr>
          <w:b/>
          <w:lang w:val="en-US"/>
        </w:rPr>
        <w:t>semester</w:t>
      </w:r>
      <w:r w:rsidR="006D7F89" w:rsidRPr="00A5445E">
        <w:rPr>
          <w:b/>
          <w:lang w:val="kk-KZ"/>
        </w:rPr>
        <w:t>,</w:t>
      </w:r>
      <w:r w:rsidR="0082391D" w:rsidRPr="00A5445E">
        <w:rPr>
          <w:b/>
          <w:lang w:val="kk-KZ"/>
        </w:rPr>
        <w:t xml:space="preserve"> </w:t>
      </w:r>
      <w:r w:rsidR="00726EEF" w:rsidRPr="00A5445E">
        <w:rPr>
          <w:b/>
          <w:lang w:val="en-US"/>
        </w:rPr>
        <w:t>2017-2018</w:t>
      </w:r>
      <w:r w:rsidR="0082391D" w:rsidRPr="00A5445E">
        <w:rPr>
          <w:b/>
          <w:lang w:val="en-US"/>
        </w:rPr>
        <w:t xml:space="preserve"> </w:t>
      </w:r>
      <w:r w:rsidR="000C5E8E" w:rsidRPr="00A5445E">
        <w:rPr>
          <w:b/>
          <w:lang w:val="en-US"/>
        </w:rPr>
        <w:t>academic</w:t>
      </w:r>
      <w:r w:rsidR="0082391D" w:rsidRPr="00A5445E">
        <w:rPr>
          <w:b/>
          <w:lang w:val="en-US"/>
        </w:rPr>
        <w:t xml:space="preserve"> </w:t>
      </w:r>
      <w:r w:rsidR="000C5E8E" w:rsidRPr="00A5445E">
        <w:rPr>
          <w:b/>
          <w:lang w:val="en-US"/>
        </w:rPr>
        <w:t>year</w:t>
      </w:r>
    </w:p>
    <w:p w:rsidR="006D7F89" w:rsidRPr="00A5445E" w:rsidRDefault="006D7F89" w:rsidP="000836DE">
      <w:pPr>
        <w:rPr>
          <w:bCs/>
          <w:lang w:val="kk-KZ"/>
        </w:rPr>
      </w:pPr>
    </w:p>
    <w:p w:rsidR="00472F4A" w:rsidRPr="00A5445E" w:rsidRDefault="00472F4A" w:rsidP="000836DE">
      <w:pPr>
        <w:rPr>
          <w:b/>
          <w:lang w:val="en-US"/>
        </w:rPr>
      </w:pPr>
      <w:r w:rsidRPr="00A5445E">
        <w:rPr>
          <w:b/>
          <w:bCs/>
          <w:lang w:val="en-US"/>
        </w:rPr>
        <w:t>Academic course information</w:t>
      </w:r>
    </w:p>
    <w:p w:rsidR="00472F4A" w:rsidRPr="00A5445E" w:rsidRDefault="00472F4A" w:rsidP="000836DE">
      <w:pPr>
        <w:rPr>
          <w:b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632"/>
        <w:gridCol w:w="1134"/>
        <w:gridCol w:w="850"/>
        <w:gridCol w:w="353"/>
        <w:gridCol w:w="781"/>
        <w:gridCol w:w="851"/>
        <w:gridCol w:w="69"/>
        <w:gridCol w:w="1206"/>
        <w:gridCol w:w="1169"/>
      </w:tblGrid>
      <w:tr w:rsidR="00472F4A" w:rsidRPr="00A5445E" w:rsidTr="000836D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Discipline’s code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Discipline’s title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Type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No. of hours per week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ECTS</w:t>
            </w:r>
          </w:p>
        </w:tc>
      </w:tr>
      <w:tr w:rsidR="00472F4A" w:rsidRPr="00A5445E" w:rsidTr="000836D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445E">
              <w:rPr>
                <w:bCs/>
                <w:lang w:val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5445E">
              <w:rPr>
                <w:bCs/>
                <w:lang w:val="en-US"/>
              </w:rPr>
              <w:t>Pract</w:t>
            </w:r>
            <w:proofErr w:type="spellEnd"/>
            <w:r w:rsidRPr="00A5445E">
              <w:rPr>
                <w:bCs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445E">
              <w:rPr>
                <w:bCs/>
                <w:lang w:val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72F4A" w:rsidRPr="00A5445E" w:rsidTr="000836DE">
        <w:trPr>
          <w:trHeight w:val="4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C05DB9" w:rsidP="000836D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en-US"/>
              </w:rPr>
            </w:pPr>
            <w:r w:rsidRPr="00A5445E">
              <w:rPr>
                <w:bCs/>
                <w:lang w:val="en-US"/>
              </w:rPr>
              <w:t>TRB 7303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C05DB9" w:rsidP="000836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>Technology of radiation safety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5D3B2A" w:rsidP="000836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  <w:lang w:val="en-US" w:eastAsia="ja-JP"/>
              </w:rPr>
            </w:pPr>
            <w:r w:rsidRPr="00A5445E">
              <w:rPr>
                <w:lang w:val="en-US"/>
              </w:rPr>
              <w:t>Elective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A60B21" w:rsidP="000836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171098" w:rsidP="000836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F7797D" w:rsidP="000836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A60B21" w:rsidP="000836D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A60B21" w:rsidP="000836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472F4A" w:rsidRPr="00A5445E" w:rsidTr="00F53C9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F7797D" w:rsidP="000836DE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A5445E">
              <w:rPr>
                <w:b w:val="0"/>
                <w:sz w:val="24"/>
                <w:szCs w:val="24"/>
                <w:lang w:val="en-US"/>
              </w:rPr>
              <w:t>Takibayev</w:t>
            </w:r>
            <w:proofErr w:type="spellEnd"/>
            <w:r w:rsidR="00A60B21" w:rsidRPr="00A5445E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445E">
              <w:rPr>
                <w:b w:val="0"/>
                <w:sz w:val="24"/>
                <w:szCs w:val="24"/>
                <w:lang w:val="en-US"/>
              </w:rPr>
              <w:t>N.Zh</w:t>
            </w:r>
            <w:proofErr w:type="spellEnd"/>
            <w:r w:rsidRPr="00A5445E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5445E">
              <w:rPr>
                <w:b w:val="0"/>
                <w:sz w:val="24"/>
                <w:szCs w:val="24"/>
                <w:lang w:val="en-US"/>
              </w:rPr>
              <w:t>d.s.p</w:t>
            </w:r>
            <w:proofErr w:type="spellEnd"/>
            <w:r w:rsidRPr="00A5445E">
              <w:rPr>
                <w:b w:val="0"/>
                <w:sz w:val="24"/>
                <w:szCs w:val="24"/>
                <w:lang w:val="en-US"/>
              </w:rPr>
              <w:t>.-m., academic of NAS RK, professor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Scheduled</w:t>
            </w:r>
          </w:p>
        </w:tc>
      </w:tr>
      <w:tr w:rsidR="00472F4A" w:rsidRPr="000836DE" w:rsidTr="00F53C9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</w:rPr>
            </w:pPr>
            <w:r w:rsidRPr="00A5445E">
              <w:rPr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jc w:val="both"/>
              <w:rPr>
                <w:lang w:val="en-US"/>
              </w:rPr>
            </w:pPr>
            <w:r w:rsidRPr="00A5445E">
              <w:rPr>
                <w:lang w:val="en-US"/>
              </w:rPr>
              <w:t xml:space="preserve">E-mail: </w:t>
            </w:r>
            <w:hyperlink r:id="rId7" w:history="1">
              <w:r w:rsidR="00F7797D" w:rsidRPr="00A5445E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takibayev@gmail.com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72F4A" w:rsidRPr="00A5445E" w:rsidTr="00F53C9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jc w:val="both"/>
              <w:rPr>
                <w:lang w:val="en-US"/>
              </w:rPr>
            </w:pPr>
            <w:r w:rsidRPr="00A5445E">
              <w:rPr>
                <w:lang w:val="en-US"/>
              </w:rPr>
              <w:t xml:space="preserve">Telephone: </w:t>
            </w:r>
            <w:r w:rsidR="00F7797D" w:rsidRPr="00A5445E">
              <w:rPr>
                <w:lang w:val="en-US"/>
              </w:rPr>
              <w:t>2925-133; 8-777-704-0396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445E">
              <w:rPr>
                <w:bCs/>
                <w:lang w:val="en-US"/>
              </w:rPr>
              <w:t>Auditory</w:t>
            </w:r>
          </w:p>
          <w:p w:rsidR="00F7797D" w:rsidRPr="00A5445E" w:rsidRDefault="00F7797D" w:rsidP="000836D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F7797D" w:rsidP="000836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445E">
              <w:rPr>
                <w:bCs/>
                <w:lang w:val="en-US"/>
              </w:rPr>
              <w:t>319</w:t>
            </w:r>
          </w:p>
        </w:tc>
      </w:tr>
    </w:tbl>
    <w:p w:rsidR="00171098" w:rsidRPr="00A5445E" w:rsidRDefault="00171098" w:rsidP="000836DE">
      <w:pPr>
        <w:rPr>
          <w:lang w:val="en-US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472F4A" w:rsidRPr="000836DE" w:rsidTr="00F53C9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4A" w:rsidRPr="00A5445E" w:rsidRDefault="00472F4A" w:rsidP="000836DE">
            <w:pPr>
              <w:rPr>
                <w:lang w:val="en-US"/>
              </w:rPr>
            </w:pPr>
            <w:r w:rsidRPr="00A5445E">
              <w:rPr>
                <w:lang w:val="en-US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315796" w:rsidP="000836DE">
            <w:pPr>
              <w:pStyle w:val="HTML"/>
              <w:shd w:val="clear" w:color="auto" w:fill="FFFFFF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ja-JP"/>
              </w:rPr>
            </w:pPr>
            <w:r w:rsidRPr="00A544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Type</w:t>
            </w:r>
            <w:r w:rsidR="007B6E13" w:rsidRPr="00A544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="007B6E13" w:rsidRPr="00A544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course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(theoretical, practical; basic, elective) and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purpose (role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place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course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="005D3B2A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program): </w:t>
            </w:r>
            <w:r w:rsidR="00BA2F81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Technology of radiation safety</w:t>
            </w:r>
          </w:p>
          <w:p w:rsidR="00171098" w:rsidRPr="00A5445E" w:rsidRDefault="005D3B2A" w:rsidP="000836DE">
            <w:pPr>
              <w:pStyle w:val="HTML"/>
              <w:shd w:val="clear" w:color="auto" w:fill="FFFFFF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ja-JP"/>
              </w:rPr>
            </w:pPr>
            <w:r w:rsidRPr="00A544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The aim of the course: </w:t>
            </w:r>
            <w:r w:rsidR="00BA2F81" w:rsidRPr="00A5445E">
              <w:rPr>
                <w:rFonts w:ascii="Times New Roman" w:hAnsi="Times New Roman"/>
                <w:sz w:val="24"/>
                <w:szCs w:val="24"/>
                <w:lang w:val="kk-KZ"/>
              </w:rPr>
              <w:t>to inform doctoral students about the theory of safety with radiation elements or with nuclei, the theory of the characteristics of radiation nuclei</w:t>
            </w:r>
            <w:r w:rsidR="00D57808" w:rsidRPr="00A5445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57808" w:rsidRPr="00A5445E">
              <w:rPr>
                <w:rFonts w:ascii="Times New Roman" w:eastAsiaTheme="minorEastAsia" w:hAnsi="Times New Roman"/>
                <w:sz w:val="24"/>
                <w:szCs w:val="24"/>
                <w:lang w:val="kk-KZ" w:eastAsia="ja-JP"/>
              </w:rPr>
              <w:t>*</w:t>
            </w:r>
          </w:p>
          <w:p w:rsidR="00171098" w:rsidRPr="00A5445E" w:rsidRDefault="00315796" w:rsidP="000836D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A) be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2E3DD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demonstrate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acquired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knowledge (specifically) and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understanding; - demonstrate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understanding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overall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structure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field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relations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between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elements (specifically); </w:t>
            </w:r>
          </w:p>
          <w:p w:rsidR="00171098" w:rsidRPr="00A5445E" w:rsidRDefault="00315796" w:rsidP="000836D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B) be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97693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include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knowledge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context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knowledge, interpret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contents; - analyze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situation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offer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direction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solve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it; - use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methods (research, calculation, analysis, etc.) inherent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field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study (specifically) individually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 a group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teaching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activities; </w:t>
            </w:r>
            <w:bookmarkStart w:id="0" w:name="_GoBack"/>
            <w:bookmarkEnd w:id="0"/>
          </w:p>
          <w:p w:rsidR="00204E4D" w:rsidRPr="00204E4D" w:rsidRDefault="00315796" w:rsidP="000836D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C) be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to - synthesize, interpret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evaluate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outcomes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discipline, modules, midterm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exam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 (specifically); </w:t>
            </w:r>
          </w:p>
          <w:p w:rsidR="00171098" w:rsidRPr="00A5445E" w:rsidRDefault="00315796" w:rsidP="000836D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D) be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constructive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social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interaction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cooperation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group; - propose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consider a problem, to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reason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importance; - accept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criticism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criticize; - work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a team; </w:t>
            </w:r>
          </w:p>
          <w:p w:rsidR="00315796" w:rsidRPr="00A5445E" w:rsidRDefault="005D3B2A" w:rsidP="000836D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E)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5F5D75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recognize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role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taken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course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implementation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individual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paths. </w:t>
            </w:r>
            <w:r w:rsidR="00315796" w:rsidRPr="00A5445E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descriptor verbs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during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formation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3A2949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competences </w:t>
            </w:r>
            <w:r w:rsidR="00315796" w:rsidRPr="00A5445E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  <w:r w:rsidR="00315796" w:rsidRPr="00A5445E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Active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interactive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methods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recommended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ensure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deeper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understanding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material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achieve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comes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026DD7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course (individual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researches, group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projects, case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studies</w:t>
            </w:r>
            <w:r w:rsidR="00F53C93" w:rsidRPr="00A54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there </w:t>
            </w:r>
            <w:r w:rsidR="00315796" w:rsidRPr="00A5445E">
              <w:rPr>
                <w:rFonts w:ascii="Times New Roman" w:hAnsi="Times New Roman"/>
                <w:sz w:val="24"/>
                <w:szCs w:val="24"/>
                <w:lang w:val="en-US"/>
              </w:rPr>
              <w:t>methods).</w:t>
            </w:r>
          </w:p>
        </w:tc>
      </w:tr>
      <w:tr w:rsidR="00472F4A" w:rsidRPr="000836DE" w:rsidTr="00F53C9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4A" w:rsidRPr="00A5445E" w:rsidRDefault="00472F4A" w:rsidP="000836DE">
            <w:pPr>
              <w:rPr>
                <w:lang w:val="en-US"/>
              </w:rPr>
            </w:pPr>
            <w:r w:rsidRPr="00A5445E">
              <w:rPr>
                <w:lang w:val="en-US"/>
              </w:rPr>
              <w:t>Prerequisites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3034AF" w:rsidP="000836DE">
            <w:pPr>
              <w:jc w:val="both"/>
              <w:rPr>
                <w:lang w:val="en-US"/>
              </w:rPr>
            </w:pPr>
            <w:r w:rsidRPr="00EE13CF">
              <w:rPr>
                <w:lang w:val="kk-KZ"/>
              </w:rPr>
              <w:t>Organization and planning of research</w:t>
            </w:r>
          </w:p>
        </w:tc>
      </w:tr>
      <w:tr w:rsidR="00472F4A" w:rsidRPr="000836DE" w:rsidTr="00F53C9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4A" w:rsidRPr="00A5445E" w:rsidRDefault="00472F4A" w:rsidP="000836DE">
            <w:r w:rsidRPr="00A5445E">
              <w:rPr>
                <w:lang w:val="en-US"/>
              </w:rPr>
              <w:t>Post 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3034AF" w:rsidP="000836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It is necessary in a future professional practice</w:t>
            </w:r>
          </w:p>
        </w:tc>
      </w:tr>
      <w:tr w:rsidR="00472F4A" w:rsidRPr="00A5445E" w:rsidTr="00F53C9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4A" w:rsidRPr="00A5445E" w:rsidRDefault="00472F4A" w:rsidP="000836DE">
            <w:r w:rsidRPr="00A5445E">
              <w:rPr>
                <w:rFonts w:eastAsia="Calibri"/>
                <w:lang w:val="en-US" w:eastAsia="en-US"/>
              </w:rPr>
              <w:t>Information resources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A07" w:rsidRPr="00A5445E" w:rsidRDefault="003A2949" w:rsidP="000836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5445E">
              <w:rPr>
                <w:lang w:val="en-US"/>
              </w:rPr>
              <w:t>Literature (with an indication of the authors and data output), the availability (number), software and consumables with information about where you can get them. (8-9)</w:t>
            </w:r>
            <w:r w:rsidRPr="00A5445E">
              <w:rPr>
                <w:lang w:val="en-US"/>
              </w:rPr>
              <w:br/>
            </w:r>
            <w:r w:rsidR="00765A07" w:rsidRPr="00A5445E">
              <w:t>Recommended:</w:t>
            </w:r>
          </w:p>
          <w:p w:rsidR="00BA2F81" w:rsidRPr="00A5445E" w:rsidRDefault="00BA2F81" w:rsidP="000836DE">
            <w:pPr>
              <w:pStyle w:val="a9"/>
              <w:numPr>
                <w:ilvl w:val="0"/>
                <w:numId w:val="3"/>
              </w:numPr>
              <w:overflowPunct w:val="0"/>
              <w:adjustRightInd w:val="0"/>
              <w:spacing w:before="0"/>
              <w:ind w:right="1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5445E">
              <w:rPr>
                <w:sz w:val="24"/>
                <w:szCs w:val="24"/>
                <w:lang w:val="en-US"/>
              </w:rPr>
              <w:t>Zanzonico</w:t>
            </w:r>
            <w:proofErr w:type="spellEnd"/>
            <w:r w:rsidRPr="00A5445E">
              <w:rPr>
                <w:sz w:val="24"/>
                <w:szCs w:val="24"/>
                <w:lang w:val="en-US"/>
              </w:rPr>
              <w:t xml:space="preserve"> P. Routine Quality Control of Clinical Nuclear Medicine Instrumentation: A Brief Review. J </w:t>
            </w:r>
            <w:proofErr w:type="spellStart"/>
            <w:r w:rsidRPr="00A5445E">
              <w:rPr>
                <w:sz w:val="24"/>
                <w:szCs w:val="24"/>
                <w:lang w:val="en-US"/>
              </w:rPr>
              <w:t>Nucl</w:t>
            </w:r>
            <w:proofErr w:type="spellEnd"/>
            <w:r w:rsidRPr="00A5445E">
              <w:rPr>
                <w:sz w:val="24"/>
                <w:szCs w:val="24"/>
                <w:lang w:val="en-US"/>
              </w:rPr>
              <w:t xml:space="preserve"> Med. 2008;49(7):1114–1131</w:t>
            </w:r>
          </w:p>
          <w:p w:rsidR="007321F8" w:rsidRPr="00A5445E" w:rsidRDefault="007321F8" w:rsidP="000836DE">
            <w:pPr>
              <w:pStyle w:val="a9"/>
              <w:numPr>
                <w:ilvl w:val="0"/>
                <w:numId w:val="3"/>
              </w:numPr>
              <w:overflowPunct w:val="0"/>
              <w:adjustRightInd w:val="0"/>
              <w:spacing w:before="0"/>
              <w:ind w:right="120"/>
              <w:jc w:val="both"/>
              <w:rPr>
                <w:rStyle w:val="HTML1"/>
                <w:iCs w:val="0"/>
                <w:sz w:val="24"/>
                <w:szCs w:val="24"/>
                <w:lang w:val="en-US"/>
              </w:rPr>
            </w:pPr>
            <w:r w:rsidRPr="00A5445E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" w:history="1">
              <w:r w:rsidR="00BA2F81" w:rsidRPr="00A5445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"Radiation"</w:t>
              </w:r>
            </w:hyperlink>
            <w:r w:rsidR="00BA2F81" w:rsidRPr="00A5445E">
              <w:rPr>
                <w:sz w:val="24"/>
                <w:szCs w:val="24"/>
                <w:shd w:val="clear" w:color="auto" w:fill="FFFFFF"/>
                <w:lang w:val="en-US"/>
              </w:rPr>
              <w:t>. </w:t>
            </w:r>
            <w:r w:rsidR="00BA2F81" w:rsidRPr="00A5445E">
              <w:rPr>
                <w:iCs/>
                <w:sz w:val="24"/>
                <w:szCs w:val="24"/>
                <w:shd w:val="clear" w:color="auto" w:fill="FFFFFF"/>
                <w:lang w:val="en-US"/>
              </w:rPr>
              <w:t xml:space="preserve">The free dictionary by </w:t>
            </w:r>
            <w:proofErr w:type="spellStart"/>
            <w:r w:rsidR="00BA2F81" w:rsidRPr="00A5445E">
              <w:rPr>
                <w:iCs/>
                <w:sz w:val="24"/>
                <w:szCs w:val="24"/>
                <w:shd w:val="clear" w:color="auto" w:fill="FFFFFF"/>
                <w:lang w:val="en-US"/>
              </w:rPr>
              <w:t>Farlex</w:t>
            </w:r>
            <w:proofErr w:type="spellEnd"/>
            <w:r w:rsidR="00BA2F81" w:rsidRPr="00A5445E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BA2F81" w:rsidRPr="00A5445E">
              <w:rPr>
                <w:sz w:val="24"/>
                <w:szCs w:val="24"/>
                <w:shd w:val="clear" w:color="auto" w:fill="FFFFFF"/>
              </w:rPr>
              <w:t>Farlex, Inc</w:t>
            </w:r>
            <w:r w:rsidR="00BA2F81" w:rsidRPr="00A5445E">
              <w:rPr>
                <w:rStyle w:val="reference-accessdate"/>
                <w:sz w:val="24"/>
                <w:szCs w:val="24"/>
                <w:shd w:val="clear" w:color="auto" w:fill="FFFFFF"/>
              </w:rPr>
              <w:t>. Retrieved </w:t>
            </w:r>
            <w:r w:rsidR="00BA2F81" w:rsidRPr="00A5445E">
              <w:rPr>
                <w:rStyle w:val="nowrap"/>
                <w:sz w:val="24"/>
                <w:szCs w:val="24"/>
                <w:shd w:val="clear" w:color="auto" w:fill="FFFFFF"/>
              </w:rPr>
              <w:t>2014-</w:t>
            </w:r>
            <w:r w:rsidR="00BA2F81" w:rsidRPr="00A5445E">
              <w:rPr>
                <w:rStyle w:val="nowrap"/>
                <w:sz w:val="24"/>
                <w:szCs w:val="24"/>
                <w:shd w:val="clear" w:color="auto" w:fill="FFFFFF"/>
              </w:rPr>
              <w:lastRenderedPageBreak/>
              <w:t>01-11</w:t>
            </w:r>
            <w:r w:rsidR="00BA2F81" w:rsidRPr="00A5445E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A2F81" w:rsidRPr="00A5445E" w:rsidRDefault="00BA2F81" w:rsidP="000836DE">
            <w:pPr>
              <w:pStyle w:val="a9"/>
              <w:numPr>
                <w:ilvl w:val="0"/>
                <w:numId w:val="3"/>
              </w:numPr>
              <w:overflowPunct w:val="0"/>
              <w:adjustRightInd w:val="0"/>
              <w:spacing w:before="0"/>
              <w:ind w:right="1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5445E">
              <w:rPr>
                <w:sz w:val="24"/>
                <w:szCs w:val="24"/>
                <w:shd w:val="clear" w:color="auto" w:fill="FFFFFF"/>
                <w:lang w:val="en-US"/>
              </w:rPr>
              <w:t>Moulder</w:t>
            </w:r>
            <w:proofErr w:type="spellEnd"/>
            <w:r w:rsidRPr="00A5445E">
              <w:rPr>
                <w:sz w:val="24"/>
                <w:szCs w:val="24"/>
                <w:shd w:val="clear" w:color="auto" w:fill="FFFFFF"/>
                <w:lang w:val="en-US"/>
              </w:rPr>
              <w:t>, John E. </w:t>
            </w:r>
            <w:hyperlink r:id="rId9" w:history="1">
              <w:r w:rsidRPr="00A5445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"Static Electric and Magnetic Fields and Human Health"</w:t>
              </w:r>
            </w:hyperlink>
            <w:r w:rsidRPr="00A5445E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765A07" w:rsidRPr="00A5445E" w:rsidRDefault="00765A07" w:rsidP="000836DE">
            <w:pPr>
              <w:overflowPunct w:val="0"/>
              <w:adjustRightInd w:val="0"/>
              <w:ind w:right="120"/>
              <w:jc w:val="both"/>
              <w:rPr>
                <w:lang w:val="en-US"/>
              </w:rPr>
            </w:pPr>
            <w:r w:rsidRPr="00A5445E">
              <w:rPr>
                <w:lang w:val="en-US"/>
              </w:rPr>
              <w:t xml:space="preserve">Additional: </w:t>
            </w:r>
          </w:p>
          <w:p w:rsidR="008428AA" w:rsidRPr="00A5445E" w:rsidRDefault="008428AA" w:rsidP="000836DE">
            <w:pPr>
              <w:numPr>
                <w:ilvl w:val="0"/>
                <w:numId w:val="8"/>
              </w:numPr>
              <w:shd w:val="clear" w:color="auto" w:fill="FFFFFF"/>
            </w:pPr>
            <w:proofErr w:type="spellStart"/>
            <w:r w:rsidRPr="00A5445E">
              <w:rPr>
                <w:lang w:val="en-US"/>
              </w:rPr>
              <w:t>Mozumder</w:t>
            </w:r>
            <w:proofErr w:type="spellEnd"/>
            <w:r w:rsidRPr="00A5445E">
              <w:rPr>
                <w:lang w:val="en-US"/>
              </w:rPr>
              <w:t xml:space="preserve">, A., and Y. </w:t>
            </w:r>
            <w:proofErr w:type="spellStart"/>
            <w:r w:rsidRPr="00A5445E">
              <w:rPr>
                <w:lang w:val="en-US"/>
              </w:rPr>
              <w:t>Hatano</w:t>
            </w:r>
            <w:proofErr w:type="spellEnd"/>
            <w:r w:rsidRPr="00A5445E">
              <w:rPr>
                <w:lang w:val="en-US"/>
              </w:rPr>
              <w:t>. </w:t>
            </w:r>
            <w:r w:rsidRPr="00A5445E">
              <w:rPr>
                <w:rStyle w:val="aa"/>
                <w:lang w:val="en-US"/>
              </w:rPr>
              <w:t>C</w:t>
            </w:r>
            <w:r w:rsidRPr="00A5445E">
              <w:rPr>
                <w:rStyle w:val="aa"/>
                <w:i w:val="0"/>
                <w:lang w:val="en-US"/>
              </w:rPr>
              <w:t>harged Particle and Photon Interactions with Matter: Chemical, Physicochemical, and Biological Consequences with Applications</w:t>
            </w:r>
            <w:r w:rsidRPr="00A5445E">
              <w:rPr>
                <w:i/>
                <w:lang w:val="en-US"/>
              </w:rPr>
              <w:t>.</w:t>
            </w:r>
            <w:r w:rsidRPr="00A5445E">
              <w:rPr>
                <w:lang w:val="en-US"/>
              </w:rPr>
              <w:t xml:space="preserve"> </w:t>
            </w:r>
            <w:r w:rsidRPr="00A5445E">
              <w:t>New York: Marcel Dekker, 2004. Print.</w:t>
            </w:r>
          </w:p>
          <w:p w:rsidR="00472F4A" w:rsidRPr="000836DE" w:rsidRDefault="008428AA" w:rsidP="000836DE">
            <w:pPr>
              <w:numPr>
                <w:ilvl w:val="0"/>
                <w:numId w:val="8"/>
              </w:numPr>
              <w:shd w:val="clear" w:color="auto" w:fill="FFFFFF"/>
            </w:pPr>
            <w:proofErr w:type="spellStart"/>
            <w:r w:rsidRPr="00A5445E">
              <w:rPr>
                <w:lang w:val="en-US"/>
              </w:rPr>
              <w:t>Petrucci</w:t>
            </w:r>
            <w:proofErr w:type="spellEnd"/>
            <w:r w:rsidRPr="00A5445E">
              <w:rPr>
                <w:lang w:val="en-US"/>
              </w:rPr>
              <w:t xml:space="preserve">, Ralph H., William S. Harwood, F. Geoffrey. </w:t>
            </w:r>
            <w:proofErr w:type="gramStart"/>
            <w:r w:rsidRPr="00A5445E">
              <w:rPr>
                <w:lang w:val="en-US"/>
              </w:rPr>
              <w:t>Herring,</w:t>
            </w:r>
            <w:proofErr w:type="gramEnd"/>
            <w:r w:rsidRPr="00A5445E">
              <w:rPr>
                <w:lang w:val="en-US"/>
              </w:rPr>
              <w:t xml:space="preserve"> and Jeffry D. Madura. </w:t>
            </w:r>
            <w:r w:rsidRPr="00A5445E">
              <w:rPr>
                <w:rStyle w:val="aa"/>
                <w:i w:val="0"/>
                <w:lang w:val="en-US"/>
              </w:rPr>
              <w:t>General Chemistry: Principles and Modern Applications</w:t>
            </w:r>
            <w:r w:rsidRPr="00A5445E">
              <w:rPr>
                <w:rStyle w:val="aa"/>
                <w:lang w:val="en-US"/>
              </w:rPr>
              <w:t>.</w:t>
            </w:r>
            <w:r w:rsidRPr="00A5445E">
              <w:rPr>
                <w:lang w:val="en-US"/>
              </w:rPr>
              <w:t xml:space="preserve"> Upper Saddle River, N.J.: Pearson Education, 2007. </w:t>
            </w:r>
            <w:proofErr w:type="spellStart"/>
            <w:r w:rsidRPr="00A5445E">
              <w:t>Print</w:t>
            </w:r>
            <w:proofErr w:type="spellEnd"/>
            <w:r w:rsidRPr="00A5445E">
              <w:t>.</w:t>
            </w:r>
          </w:p>
        </w:tc>
      </w:tr>
      <w:tr w:rsidR="00472F4A" w:rsidRPr="00A5445E" w:rsidTr="00F53C9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4A" w:rsidRPr="00A5445E" w:rsidRDefault="00472F4A" w:rsidP="000836DE">
            <w:pPr>
              <w:rPr>
                <w:lang w:val="en-US"/>
              </w:rPr>
            </w:pPr>
            <w:r w:rsidRPr="00A5445E">
              <w:rPr>
                <w:lang w:val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jc w:val="both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 xml:space="preserve">Academic Behavior Rules: </w:t>
            </w:r>
          </w:p>
          <w:p w:rsidR="00472F4A" w:rsidRPr="00A5445E" w:rsidRDefault="00726EEF" w:rsidP="000836DE">
            <w:pPr>
              <w:jc w:val="both"/>
              <w:rPr>
                <w:b/>
                <w:lang w:val="en-US"/>
              </w:rPr>
            </w:pPr>
            <w:r w:rsidRPr="00A5445E">
              <w:rPr>
                <w:lang w:val="en-US"/>
              </w:rPr>
              <w:t>Compulsory attendance in the classroom, the impermissibility of late attendance. Without advance notice of absence and undue tardiness to the teacher is estimated at 0 points.</w:t>
            </w:r>
          </w:p>
          <w:p w:rsidR="00472F4A" w:rsidRPr="00A5445E" w:rsidRDefault="00472F4A" w:rsidP="000836DE">
            <w:pPr>
              <w:jc w:val="both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Academic values:</w:t>
            </w:r>
          </w:p>
          <w:p w:rsidR="00472F4A" w:rsidRPr="00A5445E" w:rsidRDefault="00E13FDD" w:rsidP="000836DE">
            <w:pPr>
              <w:jc w:val="both"/>
              <w:rPr>
                <w:lang w:val="en-US"/>
              </w:rPr>
            </w:pPr>
            <w:r w:rsidRPr="00A5445E">
              <w:rPr>
                <w:lang w:val="en-US"/>
              </w:rPr>
              <w:t xml:space="preserve">Inadmissibility of plagiarism, forgery, cheating at all stages of the knowledge control, and disrespectful attitude towards teachers. (The code of </w:t>
            </w:r>
            <w:proofErr w:type="spellStart"/>
            <w:r w:rsidRPr="00A5445E">
              <w:rPr>
                <w:lang w:val="en-US"/>
              </w:rPr>
              <w:t>KazNU</w:t>
            </w:r>
            <w:proofErr w:type="spellEnd"/>
            <w:r w:rsidRPr="00A5445E">
              <w:rPr>
                <w:lang w:val="en-US"/>
              </w:rPr>
              <w:t xml:space="preserve"> Student’s honor)</w:t>
            </w:r>
          </w:p>
        </w:tc>
      </w:tr>
      <w:tr w:rsidR="00472F4A" w:rsidRPr="000836DE" w:rsidTr="00F53C9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4A" w:rsidRPr="00A5445E" w:rsidRDefault="00472F4A" w:rsidP="000836DE">
            <w:r w:rsidRPr="00A5445E">
              <w:rPr>
                <w:lang w:val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4A" w:rsidRPr="00A5445E" w:rsidRDefault="00472F4A" w:rsidP="000836DE">
            <w:pPr>
              <w:rPr>
                <w:lang w:val="en-US"/>
              </w:rPr>
            </w:pPr>
            <w:r w:rsidRPr="00A5445E">
              <w:rPr>
                <w:b/>
                <w:lang w:val="en-US"/>
              </w:rPr>
              <w:t>Criteria-based evaluation:</w:t>
            </w:r>
          </w:p>
          <w:p w:rsidR="00472F4A" w:rsidRPr="00A5445E" w:rsidRDefault="00726EEF" w:rsidP="000836DE">
            <w:pPr>
              <w:rPr>
                <w:lang w:val="en-US"/>
              </w:rPr>
            </w:pPr>
            <w:r w:rsidRPr="00A5445E">
              <w:rPr>
                <w:lang w:val="en-US"/>
              </w:rPr>
              <w:t>Assessment of learning outcomes in correlation with</w:t>
            </w:r>
            <w:r w:rsidR="00E13FDD" w:rsidRPr="00A5445E">
              <w:rPr>
                <w:lang w:val="en-US"/>
              </w:rPr>
              <w:t>descriptors (verification of competence formation during midterm control andexaminations).</w:t>
            </w:r>
          </w:p>
          <w:p w:rsidR="00472F4A" w:rsidRPr="00A5445E" w:rsidRDefault="00472F4A" w:rsidP="000836DE">
            <w:pPr>
              <w:rPr>
                <w:lang w:val="en-US"/>
              </w:rPr>
            </w:pPr>
            <w:r w:rsidRPr="00A5445E">
              <w:rPr>
                <w:b/>
                <w:lang w:val="en-US"/>
              </w:rPr>
              <w:t xml:space="preserve">Summative evaluation: </w:t>
            </w:r>
          </w:p>
          <w:p w:rsidR="00472F4A" w:rsidRDefault="00E13FDD" w:rsidP="000836DE">
            <w:pPr>
              <w:rPr>
                <w:lang w:val="en-US"/>
              </w:rPr>
            </w:pPr>
            <w:r w:rsidRPr="00A5445E">
              <w:rPr>
                <w:lang w:val="en-US"/>
              </w:rPr>
              <w:t>evaluation of the presence and activity of the work in the classroom; assessment of the assignment, independent work of students, (project / case study / program / ...)</w:t>
            </w:r>
          </w:p>
          <w:p w:rsidR="000836DE" w:rsidRDefault="000836DE" w:rsidP="00083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640DC">
              <w:rPr>
                <w:lang w:val="en-US"/>
              </w:rPr>
              <w:t>The formula for calculating the final grade.</w:t>
            </w:r>
          </w:p>
          <w:p w:rsidR="000836DE" w:rsidRDefault="000836DE" w:rsidP="00083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0836DE" w:rsidRPr="004640DC" w:rsidRDefault="000836DE" w:rsidP="00083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Final grade for the discipline=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IC1+IC2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T+0,3FC</m:t>
                </m:r>
              </m:oMath>
            </m:oMathPara>
          </w:p>
          <w:p w:rsidR="000836DE" w:rsidRPr="004640DC" w:rsidRDefault="000836DE" w:rsidP="000836DE">
            <w:pPr>
              <w:pStyle w:val="a9"/>
              <w:tabs>
                <w:tab w:val="left" w:pos="426"/>
              </w:tabs>
              <w:adjustRightInd w:val="0"/>
              <w:spacing w:before="0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640DC">
              <w:rPr>
                <w:sz w:val="24"/>
                <w:szCs w:val="24"/>
                <w:lang w:val="en-US"/>
              </w:rPr>
              <w:t xml:space="preserve">       Below are the minimum estimates in percentage terms:</w:t>
            </w:r>
          </w:p>
          <w:p w:rsidR="000836DE" w:rsidRPr="00EB1C43" w:rsidRDefault="000836DE" w:rsidP="000836DE">
            <w:pPr>
              <w:pStyle w:val="a9"/>
              <w:tabs>
                <w:tab w:val="left" w:pos="426"/>
              </w:tabs>
              <w:adjustRightInd w:val="0"/>
              <w:spacing w:before="0"/>
              <w:ind w:left="34"/>
              <w:jc w:val="both"/>
              <w:rPr>
                <w:sz w:val="24"/>
                <w:szCs w:val="24"/>
              </w:rPr>
            </w:pPr>
            <w:r w:rsidRPr="004640DC">
              <w:rPr>
                <w:sz w:val="24"/>
                <w:szCs w:val="24"/>
                <w:lang w:val="en-US"/>
              </w:rPr>
              <w:t xml:space="preserve"> </w:t>
            </w:r>
            <w:r w:rsidRPr="00EB1C43">
              <w:rPr>
                <w:sz w:val="24"/>
                <w:szCs w:val="24"/>
              </w:rPr>
              <w:t>9</w:t>
            </w:r>
            <w:r w:rsidRPr="004640DC">
              <w:rPr>
                <w:sz w:val="24"/>
                <w:szCs w:val="24"/>
              </w:rPr>
              <w:t xml:space="preserve">   </w:t>
            </w:r>
            <w:r w:rsidRPr="00EB1C43">
              <w:rPr>
                <w:sz w:val="24"/>
                <w:szCs w:val="24"/>
              </w:rPr>
              <w:t>5% - 100%: А</w:t>
            </w:r>
            <w:r w:rsidRPr="00EB1C43">
              <w:rPr>
                <w:sz w:val="24"/>
                <w:szCs w:val="24"/>
              </w:rPr>
              <w:tab/>
            </w:r>
            <w:r w:rsidRPr="00EB1C43">
              <w:rPr>
                <w:sz w:val="24"/>
                <w:szCs w:val="24"/>
              </w:rPr>
              <w:tab/>
            </w:r>
            <w:r w:rsidRPr="005A7E3A">
              <w:rPr>
                <w:sz w:val="24"/>
                <w:szCs w:val="24"/>
              </w:rPr>
              <w:t xml:space="preserve">           </w:t>
            </w:r>
            <w:r w:rsidRPr="00EB1C43">
              <w:rPr>
                <w:sz w:val="24"/>
                <w:szCs w:val="24"/>
              </w:rPr>
              <w:t>90% - 94%: А-</w:t>
            </w:r>
          </w:p>
          <w:p w:rsidR="000836DE" w:rsidRPr="004640DC" w:rsidRDefault="000836DE" w:rsidP="000836DE">
            <w:pPr>
              <w:pStyle w:val="a9"/>
              <w:tabs>
                <w:tab w:val="left" w:pos="426"/>
              </w:tabs>
              <w:adjustRightInd w:val="0"/>
              <w:spacing w:before="0"/>
              <w:ind w:left="34"/>
              <w:jc w:val="both"/>
              <w:rPr>
                <w:sz w:val="24"/>
                <w:szCs w:val="24"/>
              </w:rPr>
            </w:pPr>
            <w:r w:rsidRPr="004640DC">
              <w:rPr>
                <w:sz w:val="24"/>
                <w:szCs w:val="24"/>
              </w:rPr>
              <w:t xml:space="preserve">     </w:t>
            </w:r>
            <w:r w:rsidRPr="00EB1C43">
              <w:rPr>
                <w:sz w:val="24"/>
                <w:szCs w:val="24"/>
              </w:rPr>
              <w:t>85% - 89%: В+</w:t>
            </w:r>
            <w:r w:rsidRPr="00EB1C43">
              <w:rPr>
                <w:sz w:val="24"/>
                <w:szCs w:val="24"/>
              </w:rPr>
              <w:tab/>
            </w:r>
            <w:r w:rsidRPr="00EB1C43">
              <w:rPr>
                <w:sz w:val="24"/>
                <w:szCs w:val="24"/>
              </w:rPr>
              <w:tab/>
              <w:t>80% - 84%: В</w:t>
            </w:r>
            <w:r w:rsidRPr="00EB1C43">
              <w:rPr>
                <w:sz w:val="24"/>
                <w:szCs w:val="24"/>
              </w:rPr>
              <w:tab/>
            </w:r>
            <w:r w:rsidRPr="00EB1C43">
              <w:rPr>
                <w:sz w:val="24"/>
                <w:szCs w:val="24"/>
              </w:rPr>
              <w:tab/>
            </w:r>
            <w:r w:rsidRPr="00EB1C43">
              <w:rPr>
                <w:sz w:val="24"/>
                <w:szCs w:val="24"/>
              </w:rPr>
              <w:tab/>
              <w:t>75% - 79%: В-</w:t>
            </w:r>
            <w:r w:rsidRPr="004640DC">
              <w:rPr>
                <w:sz w:val="24"/>
                <w:szCs w:val="24"/>
              </w:rPr>
              <w:t xml:space="preserve"> </w:t>
            </w:r>
          </w:p>
          <w:p w:rsidR="000836DE" w:rsidRPr="004640DC" w:rsidRDefault="000836DE" w:rsidP="000836DE">
            <w:pPr>
              <w:tabs>
                <w:tab w:val="left" w:pos="426"/>
              </w:tabs>
              <w:adjustRightInd w:val="0"/>
              <w:jc w:val="both"/>
            </w:pPr>
            <w:r w:rsidRPr="004640DC">
              <w:t>70% - 74%: С+</w:t>
            </w:r>
            <w:r w:rsidRPr="004640DC">
              <w:tab/>
            </w:r>
            <w:r w:rsidRPr="004640DC">
              <w:tab/>
              <w:t>65% - 69%: С</w:t>
            </w:r>
            <w:r w:rsidRPr="004640DC">
              <w:tab/>
            </w:r>
            <w:r w:rsidRPr="004640DC">
              <w:tab/>
            </w:r>
            <w:r w:rsidRPr="004640DC">
              <w:tab/>
              <w:t>60% - 64%: С-</w:t>
            </w:r>
          </w:p>
          <w:p w:rsidR="000836DE" w:rsidRPr="00A5445E" w:rsidRDefault="000836DE" w:rsidP="000836DE">
            <w:pPr>
              <w:rPr>
                <w:lang w:val="en-US"/>
              </w:rPr>
            </w:pPr>
            <w:r w:rsidRPr="00EB1C43">
              <w:t xml:space="preserve">55% - 59%: </w:t>
            </w:r>
            <w:r w:rsidRPr="00EB1C43">
              <w:rPr>
                <w:lang w:val="en-US"/>
              </w:rPr>
              <w:t>D</w:t>
            </w:r>
            <w:r w:rsidRPr="00EB1C43">
              <w:t>+</w:t>
            </w:r>
            <w:r w:rsidRPr="00EB1C43">
              <w:tab/>
            </w:r>
            <w:r w:rsidRPr="004640DC">
              <w:t xml:space="preserve">            </w:t>
            </w:r>
            <w:r w:rsidRPr="00EB1C43">
              <w:t xml:space="preserve">50% - 54%: </w:t>
            </w:r>
            <w:r w:rsidRPr="00EB1C43">
              <w:rPr>
                <w:lang w:val="en-US"/>
              </w:rPr>
              <w:t>D</w:t>
            </w:r>
            <w:r w:rsidRPr="00EB1C43">
              <w:t>-</w:t>
            </w:r>
            <w:r w:rsidRPr="00EB1C43">
              <w:tab/>
            </w:r>
            <w:r w:rsidRPr="00EB1C43">
              <w:tab/>
              <w:t xml:space="preserve">0% -49%: </w:t>
            </w:r>
            <w:r w:rsidRPr="00EB1C43">
              <w:rPr>
                <w:lang w:val="en-US"/>
              </w:rPr>
              <w:t>F</w:t>
            </w:r>
          </w:p>
        </w:tc>
      </w:tr>
    </w:tbl>
    <w:p w:rsidR="00472F4A" w:rsidRPr="00A5445E" w:rsidRDefault="00472F4A" w:rsidP="000836DE">
      <w:pPr>
        <w:jc w:val="right"/>
        <w:rPr>
          <w:lang w:val="en-US"/>
        </w:rPr>
      </w:pPr>
    </w:p>
    <w:p w:rsidR="00472F4A" w:rsidRPr="00A5445E" w:rsidRDefault="00472F4A" w:rsidP="000836DE">
      <w:pPr>
        <w:jc w:val="center"/>
        <w:rPr>
          <w:b/>
          <w:lang w:val="en-US"/>
        </w:rPr>
      </w:pPr>
      <w:r w:rsidRPr="00A5445E">
        <w:rPr>
          <w:lang w:val="en-US"/>
        </w:rPr>
        <w:t>Calendar (schedule) the implementation of the course content</w:t>
      </w:r>
      <w:r w:rsidRPr="00A5445E">
        <w:rPr>
          <w:b/>
          <w:lang w:val="en-US"/>
        </w:rPr>
        <w:t>:</w:t>
      </w:r>
    </w:p>
    <w:p w:rsidR="00472F4A" w:rsidRPr="00A5445E" w:rsidRDefault="00472F4A" w:rsidP="000836DE">
      <w:pPr>
        <w:ind w:left="-114"/>
        <w:jc w:val="both"/>
        <w:rPr>
          <w:b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6128"/>
        <w:gridCol w:w="1134"/>
        <w:gridCol w:w="1701"/>
      </w:tblGrid>
      <w:tr w:rsidR="00765A07" w:rsidRPr="00A5445E" w:rsidTr="00B74786">
        <w:trPr>
          <w:trHeight w:val="255"/>
        </w:trPr>
        <w:tc>
          <w:tcPr>
            <w:tcW w:w="676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Weeks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lang w:val="en-US"/>
              </w:rPr>
              <w:t>Topic title (lectures, practical classes, Independent work of students)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lang w:val="en-US"/>
              </w:rPr>
              <w:t>Number of hours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t>Maximum score</w:t>
            </w:r>
          </w:p>
        </w:tc>
      </w:tr>
      <w:tr w:rsidR="00765A07" w:rsidRPr="00A5445E" w:rsidTr="00B74786">
        <w:trPr>
          <w:trHeight w:val="255"/>
        </w:trPr>
        <w:tc>
          <w:tcPr>
            <w:tcW w:w="9639" w:type="dxa"/>
            <w:gridSpan w:val="4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Module 1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  <w:r w:rsidRPr="00A5445E">
              <w:rPr>
                <w:b/>
                <w:lang w:val="kk-KZ"/>
              </w:rPr>
              <w:t>1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rFonts w:eastAsiaTheme="minorEastAsia"/>
                <w:color w:val="auto"/>
                <w:lang w:val="en-US" w:eastAsia="ja-JP"/>
              </w:rPr>
            </w:pPr>
            <w:r w:rsidRPr="00A5445E">
              <w:rPr>
                <w:color w:val="auto"/>
                <w:lang w:val="en-US"/>
              </w:rPr>
              <w:t>Lecture</w:t>
            </w:r>
            <w:r w:rsidRPr="00A5445E">
              <w:rPr>
                <w:color w:val="auto"/>
                <w:lang w:val="kk-KZ"/>
              </w:rPr>
              <w:t>-1 (</w:t>
            </w:r>
            <w:r w:rsidRPr="00A5445E">
              <w:rPr>
                <w:color w:val="auto"/>
                <w:lang w:val="en-US"/>
              </w:rPr>
              <w:t>L</w:t>
            </w:r>
            <w:r w:rsidRPr="00A5445E">
              <w:rPr>
                <w:color w:val="auto"/>
                <w:lang w:val="kk-KZ"/>
              </w:rPr>
              <w:t xml:space="preserve">-1). </w:t>
            </w:r>
            <w:r w:rsidR="008428AA" w:rsidRPr="00A5445E">
              <w:rPr>
                <w:rFonts w:eastAsiaTheme="minorEastAsia"/>
                <w:color w:val="auto"/>
                <w:lang w:val="kk-KZ" w:eastAsia="ja-JP"/>
              </w:rPr>
              <w:t>Introduction to Radiation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</w:pPr>
            <w:r w:rsidRPr="00A5445E">
              <w:t>-</w:t>
            </w:r>
          </w:p>
        </w:tc>
      </w:tr>
      <w:tr w:rsidR="00765A07" w:rsidRPr="00A5445E" w:rsidTr="00B74786">
        <w:trPr>
          <w:trHeight w:val="568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>Seminar</w:t>
            </w:r>
            <w:r w:rsidRPr="00A5445E">
              <w:rPr>
                <w:lang w:val="kk-KZ"/>
              </w:rPr>
              <w:t xml:space="preserve"> -1 (</w:t>
            </w: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-1).</w:t>
            </w:r>
            <w:r w:rsidRPr="00A5445E">
              <w:rPr>
                <w:lang w:val="en-US"/>
              </w:rPr>
              <w:t xml:space="preserve"> </w:t>
            </w:r>
            <w:r w:rsidR="006C15F3" w:rsidRPr="00A5445E">
              <w:rPr>
                <w:rFonts w:eastAsiaTheme="minorEastAsia"/>
                <w:lang w:val="en-US" w:eastAsia="ja-JP"/>
              </w:rPr>
              <w:t xml:space="preserve">List of </w:t>
            </w:r>
            <w:r w:rsidR="008428AA" w:rsidRPr="00A5445E">
              <w:rPr>
                <w:rFonts w:eastAsiaTheme="minorEastAsia"/>
                <w:lang w:val="en-US" w:eastAsia="ja-JP"/>
              </w:rPr>
              <w:t>radiation elements</w:t>
            </w:r>
            <w:r w:rsidR="00EA33FE" w:rsidRPr="00A5445E">
              <w:rPr>
                <w:rFonts w:eastAsiaTheme="minorEastAsia"/>
                <w:lang w:val="en-US" w:eastAsia="ja-JP"/>
              </w:rPr>
              <w:t xml:space="preserve"> and characteristics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  <w:r w:rsidRPr="00A5445E">
              <w:rPr>
                <w:b/>
                <w:lang w:val="kk-KZ"/>
              </w:rPr>
              <w:t>2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a6"/>
              <w:jc w:val="both"/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</w:pPr>
            <w:proofErr w:type="gramStart"/>
            <w:r w:rsidRPr="00A5445E">
              <w:rPr>
                <w:b w:val="0"/>
                <w:color w:val="auto"/>
                <w:sz w:val="24"/>
                <w:szCs w:val="24"/>
                <w:lang w:val="en-US"/>
              </w:rPr>
              <w:t>L-2.</w:t>
            </w:r>
            <w:proofErr w:type="gramEnd"/>
            <w:r w:rsidRPr="00A5445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10" w:anchor="Ionizing_radiation" w:history="1">
              <w:r w:rsidR="008428AA" w:rsidRPr="003034AF">
                <w:rPr>
                  <w:rStyle w:val="toctext"/>
                  <w:b w:val="0"/>
                  <w:color w:val="auto"/>
                  <w:sz w:val="24"/>
                  <w:szCs w:val="24"/>
                  <w:shd w:val="clear" w:color="auto" w:fill="F8F9FA"/>
                  <w:lang w:val="en-US"/>
                </w:rPr>
                <w:t>Ionizing radiation</w:t>
              </w:r>
            </w:hyperlink>
            <w:r w:rsidR="008428AA" w:rsidRPr="003034AF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 xml:space="preserve">: </w:t>
            </w:r>
            <w:hyperlink r:id="rId11" w:anchor="Ultraviolet_radiation" w:history="1">
              <w:r w:rsidR="008428AA" w:rsidRPr="003034AF">
                <w:rPr>
                  <w:rStyle w:val="toctext"/>
                  <w:b w:val="0"/>
                  <w:color w:val="auto"/>
                  <w:sz w:val="24"/>
                  <w:szCs w:val="24"/>
                  <w:shd w:val="clear" w:color="auto" w:fill="F8F9FA"/>
                  <w:lang w:val="en-US"/>
                </w:rPr>
                <w:t>Ultraviolet radiation</w:t>
              </w:r>
            </w:hyperlink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-</w:t>
            </w:r>
          </w:p>
        </w:tc>
      </w:tr>
      <w:tr w:rsidR="00765A07" w:rsidRPr="00A5445E" w:rsidTr="00B74786">
        <w:trPr>
          <w:trHeight w:val="270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a6"/>
              <w:jc w:val="both"/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</w:pPr>
            <w:proofErr w:type="gramStart"/>
            <w:r w:rsidRPr="00A5445E">
              <w:rPr>
                <w:b w:val="0"/>
                <w:color w:val="auto"/>
                <w:sz w:val="24"/>
                <w:szCs w:val="24"/>
                <w:lang w:val="en-US"/>
              </w:rPr>
              <w:t>S-2.</w:t>
            </w:r>
            <w:proofErr w:type="gramEnd"/>
            <w:r w:rsidRPr="00A5445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8428AA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>X-ray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  <w:r w:rsidRPr="00A5445E">
              <w:rPr>
                <w:b/>
                <w:lang w:val="kk-KZ"/>
              </w:rPr>
              <w:t>3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ja-JP"/>
              </w:rPr>
            </w:pP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L-3. </w:t>
            </w:r>
            <w:r w:rsidR="008428AA" w:rsidRPr="00A5445E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val="en-US" w:eastAsia="ja-JP"/>
              </w:rPr>
              <w:t xml:space="preserve">Gamma, </w:t>
            </w:r>
            <w:r w:rsidR="008428AA" w:rsidRPr="00A544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alpha, beta and</w:t>
            </w:r>
            <w:r w:rsidR="008428AA" w:rsidRPr="00A544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ja-JP"/>
              </w:rPr>
              <w:t xml:space="preserve"> </w:t>
            </w:r>
            <w:r w:rsidR="008428AA" w:rsidRPr="00A5445E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val="en-US" w:eastAsia="ja-JP"/>
              </w:rPr>
              <w:t>radiation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-</w:t>
            </w:r>
          </w:p>
        </w:tc>
      </w:tr>
      <w:tr w:rsidR="00765A07" w:rsidRPr="00A5445E" w:rsidTr="00B74786">
        <w:trPr>
          <w:trHeight w:val="273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a6"/>
              <w:jc w:val="both"/>
              <w:rPr>
                <w:rFonts w:eastAsiaTheme="minorEastAsia"/>
                <w:b w:val="0"/>
                <w:color w:val="auto"/>
                <w:sz w:val="24"/>
                <w:szCs w:val="24"/>
                <w:lang w:val="kk-KZ" w:eastAsia="ja-JP"/>
              </w:rPr>
            </w:pPr>
            <w:proofErr w:type="gramStart"/>
            <w:r w:rsidRPr="00A5445E">
              <w:rPr>
                <w:b w:val="0"/>
                <w:color w:val="auto"/>
                <w:sz w:val="24"/>
                <w:szCs w:val="24"/>
                <w:lang w:val="en-US"/>
              </w:rPr>
              <w:t>S</w:t>
            </w:r>
            <w:r w:rsidRPr="00A5445E">
              <w:rPr>
                <w:b w:val="0"/>
                <w:color w:val="auto"/>
                <w:sz w:val="24"/>
                <w:szCs w:val="24"/>
                <w:lang w:val="kk-KZ"/>
              </w:rPr>
              <w:t>-</w:t>
            </w:r>
            <w:r w:rsidRPr="00A5445E">
              <w:rPr>
                <w:b w:val="0"/>
                <w:color w:val="auto"/>
                <w:sz w:val="24"/>
                <w:szCs w:val="24"/>
                <w:lang w:val="en-US"/>
              </w:rPr>
              <w:t>3</w:t>
            </w:r>
            <w:r w:rsidRPr="00A5445E">
              <w:rPr>
                <w:b w:val="0"/>
                <w:color w:val="auto"/>
                <w:sz w:val="24"/>
                <w:szCs w:val="24"/>
                <w:lang w:val="kk-KZ"/>
              </w:rPr>
              <w:t>.</w:t>
            </w:r>
            <w:proofErr w:type="gramEnd"/>
            <w:r w:rsidRPr="00A5445E">
              <w:rPr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8428AA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 xml:space="preserve">Other </w:t>
            </w:r>
            <w:proofErr w:type="gramStart"/>
            <w:r w:rsidR="006C15F3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>Classification</w:t>
            </w:r>
            <w:r w:rsidR="008428AA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>s</w:t>
            </w:r>
            <w:r w:rsidR="006C15F3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 xml:space="preserve">  of</w:t>
            </w:r>
            <w:proofErr w:type="gramEnd"/>
            <w:r w:rsidR="006C15F3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 xml:space="preserve"> r</w:t>
            </w:r>
            <w:r w:rsidR="008428AA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>adiations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144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9506BB" w:rsidP="000836DE">
            <w:pPr>
              <w:pStyle w:val="a6"/>
              <w:jc w:val="both"/>
              <w:rPr>
                <w:b w:val="0"/>
                <w:color w:val="auto"/>
                <w:sz w:val="24"/>
                <w:szCs w:val="24"/>
                <w:lang w:val="en-US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  <w:lang w:val="en-US"/>
              </w:rPr>
              <w:t>D</w:t>
            </w:r>
            <w:r w:rsidR="00765A07" w:rsidRPr="00A5445E">
              <w:rPr>
                <w:b w:val="0"/>
                <w:color w:val="auto"/>
                <w:sz w:val="24"/>
                <w:szCs w:val="24"/>
                <w:lang w:val="en-US"/>
              </w:rPr>
              <w:t>SWT 1.</w:t>
            </w:r>
            <w:proofErr w:type="gramEnd"/>
            <w:r w:rsidR="00765A07" w:rsidRPr="00A5445E">
              <w:rPr>
                <w:b w:val="0"/>
                <w:color w:val="auto"/>
                <w:sz w:val="24"/>
                <w:szCs w:val="24"/>
                <w:lang w:val="en-US"/>
              </w:rPr>
              <w:t xml:space="preserve"> Prepare the report: </w:t>
            </w:r>
            <w:proofErr w:type="gramStart"/>
            <w:r w:rsidR="006C15F3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>Classification  of</w:t>
            </w:r>
            <w:proofErr w:type="gramEnd"/>
            <w:r w:rsidR="008428AA" w:rsidRPr="00A5445E">
              <w:rPr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 xml:space="preserve"> radiations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20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  <w:r w:rsidRPr="00A5445E">
              <w:rPr>
                <w:b/>
                <w:lang w:val="kk-KZ"/>
              </w:rPr>
              <w:t>4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ja-JP"/>
              </w:rPr>
            </w:pPr>
            <w:r w:rsidRPr="00A5445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L-4. </w:t>
            </w:r>
            <w:r w:rsidR="008428AA" w:rsidRPr="00A5445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Radioactivity in material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-</w:t>
            </w:r>
          </w:p>
        </w:tc>
      </w:tr>
      <w:tr w:rsidR="00765A07" w:rsidRPr="00A5445E" w:rsidTr="00B74786">
        <w:trPr>
          <w:trHeight w:val="217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jc w:val="both"/>
              <w:rPr>
                <w:lang w:val="kk-KZ"/>
              </w:rPr>
            </w:pPr>
            <w:r w:rsidRPr="00A5445E">
              <w:rPr>
                <w:lang w:val="en-US"/>
              </w:rPr>
              <w:t xml:space="preserve">S-4. </w:t>
            </w:r>
            <w:r w:rsidR="008428AA" w:rsidRPr="00A5445E">
              <w:rPr>
                <w:rFonts w:eastAsiaTheme="minorEastAsia"/>
                <w:lang w:val="en-US" w:eastAsia="ja-JP"/>
              </w:rPr>
              <w:t>Types of radioactivity  materials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184"/>
        </w:trPr>
        <w:tc>
          <w:tcPr>
            <w:tcW w:w="9639" w:type="dxa"/>
            <w:gridSpan w:val="4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b/>
                <w:lang w:val="en-US"/>
              </w:rPr>
              <w:t>Module 2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  <w:r w:rsidRPr="00A5445E">
              <w:rPr>
                <w:b/>
                <w:lang w:val="kk-KZ"/>
              </w:rPr>
              <w:t>5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 xml:space="preserve">L-5. </w:t>
            </w:r>
            <w:r w:rsidR="00F82BE5" w:rsidRPr="00A5445E">
              <w:rPr>
                <w:rFonts w:eastAsiaTheme="minorEastAsia"/>
                <w:lang w:val="en-US" w:eastAsia="ja-JP"/>
              </w:rPr>
              <w:t>Working with radiation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  <w:r w:rsidRPr="00A5445E">
              <w:rPr>
                <w:b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  <w:r w:rsidRPr="00A5445E">
              <w:rPr>
                <w:b/>
              </w:rPr>
              <w:t>-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ja-JP"/>
              </w:rPr>
            </w:pP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S-5.</w:t>
            </w:r>
            <w:r w:rsidR="00F82BE5" w:rsidRPr="00A5445E">
              <w:rPr>
                <w:rStyle w:val="30"/>
                <w:rFonts w:ascii="Times New Roman" w:eastAsiaTheme="majorEastAsia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82BE5" w:rsidRPr="00A5445E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Guiding principles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  <w:r w:rsidRPr="00A5445E">
              <w:rPr>
                <w:b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7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9506BB" w:rsidP="000836DE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ja-JP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D</w:t>
            </w:r>
            <w:r w:rsidR="00765A07"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SWT 2.</w:t>
            </w:r>
            <w:proofErr w:type="gramEnd"/>
            <w:r w:rsidR="00765A07"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F82BE5" w:rsidRPr="00A5445E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>Guiding principles</w:t>
            </w:r>
            <w:r w:rsidR="00F82BE5" w:rsidRPr="00A5445E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val="en-US" w:eastAsia="ja-JP"/>
              </w:rPr>
              <w:t>:</w:t>
            </w:r>
            <w:r w:rsidR="00F82BE5" w:rsidRPr="00A5445E">
              <w:rPr>
                <w:rStyle w:val="a8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val="en-US" w:eastAsia="ja-JP"/>
              </w:rPr>
              <w:t xml:space="preserve"> </w:t>
            </w:r>
            <w:r w:rsidR="00F82BE5" w:rsidRPr="00A5445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Justification</w:t>
            </w:r>
            <w:r w:rsidR="00F82BE5" w:rsidRPr="00A5445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, </w:t>
            </w:r>
            <w:proofErr w:type="spellStart"/>
            <w:r w:rsidR="00F82BE5" w:rsidRPr="00A5445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Optimisation</w:t>
            </w:r>
            <w:proofErr w:type="spellEnd"/>
            <w:r w:rsidR="00F82BE5" w:rsidRPr="00A5445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ja-JP"/>
              </w:rPr>
              <w:t>, limitation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20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  <w:r w:rsidRPr="00A5445E">
              <w:rPr>
                <w:b/>
                <w:lang w:val="kk-KZ"/>
              </w:rPr>
              <w:t>6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2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val="en-US" w:eastAsia="ja-JP"/>
              </w:rPr>
            </w:pP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L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.-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6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12" w:anchor="Classification_by_type_of_nuclear_reaction" w:history="1">
              <w:r w:rsidR="00F55929" w:rsidRPr="00A5445E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8F9FA"/>
                  <w:lang w:val="en-US"/>
                </w:rPr>
                <w:t xml:space="preserve"> </w:t>
              </w:r>
              <w:r w:rsidR="00F82BE5" w:rsidRPr="003034A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Risk control</w:t>
              </w:r>
              <w:r w:rsidR="00F82BE5" w:rsidRPr="003034A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val="en-US" w:eastAsia="ja-JP"/>
                </w:rPr>
                <w:t xml:space="preserve"> when we work</w:t>
              </w:r>
            </w:hyperlink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-</w:t>
            </w:r>
          </w:p>
        </w:tc>
      </w:tr>
      <w:tr w:rsidR="00765A07" w:rsidRPr="00A5445E" w:rsidTr="00B74786">
        <w:trPr>
          <w:trHeight w:val="301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4"/>
              <w:spacing w:before="0" w:after="0"/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</w:pPr>
            <w:r w:rsidRPr="00A5445E">
              <w:rPr>
                <w:b w:val="0"/>
                <w:sz w:val="24"/>
                <w:szCs w:val="24"/>
                <w:lang w:val="en-US"/>
              </w:rPr>
              <w:t>S</w:t>
            </w:r>
            <w:r w:rsidRPr="00A5445E">
              <w:rPr>
                <w:b w:val="0"/>
                <w:sz w:val="24"/>
                <w:szCs w:val="24"/>
                <w:lang w:val="kk-KZ"/>
              </w:rPr>
              <w:t>.-</w:t>
            </w:r>
            <w:r w:rsidRPr="00A5445E">
              <w:rPr>
                <w:b w:val="0"/>
                <w:sz w:val="24"/>
                <w:szCs w:val="24"/>
                <w:lang w:val="en-US"/>
              </w:rPr>
              <w:t>6</w:t>
            </w:r>
            <w:r w:rsidRPr="00A5445E">
              <w:rPr>
                <w:b w:val="0"/>
                <w:sz w:val="24"/>
                <w:szCs w:val="24"/>
                <w:lang w:val="kk-KZ"/>
              </w:rPr>
              <w:t xml:space="preserve">. </w:t>
            </w:r>
            <w:r w:rsidR="00F82BE5" w:rsidRPr="00A5445E"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  <w:t>Safety theory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7</w:t>
            </w:r>
          </w:p>
        </w:tc>
        <w:tc>
          <w:tcPr>
            <w:tcW w:w="6128" w:type="dxa"/>
          </w:tcPr>
          <w:p w:rsidR="00765A07" w:rsidRPr="003034AF" w:rsidRDefault="00765A07" w:rsidP="000836DE">
            <w:pPr>
              <w:pStyle w:val="2"/>
              <w:pBdr>
                <w:top w:val="single" w:sz="6" w:space="3" w:color="E9E9EA"/>
                <w:left w:val="single" w:sz="2" w:space="0" w:color="E9E9EA"/>
                <w:bottom w:val="single" w:sz="6" w:space="1" w:color="E9E9EA"/>
                <w:right w:val="single" w:sz="2" w:space="0" w:color="E9E9EA"/>
              </w:pBdr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ja-JP"/>
              </w:rPr>
            </w:pP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L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.-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7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F82BE5" w:rsidRPr="003034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Physical Forms of Radiation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-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4"/>
              <w:spacing w:before="0" w:after="0"/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</w:pPr>
            <w:r w:rsidRPr="00A5445E">
              <w:rPr>
                <w:b w:val="0"/>
                <w:sz w:val="24"/>
                <w:szCs w:val="24"/>
                <w:lang w:val="en-US"/>
              </w:rPr>
              <w:t>S</w:t>
            </w:r>
            <w:r w:rsidRPr="00A5445E">
              <w:rPr>
                <w:b w:val="0"/>
                <w:sz w:val="24"/>
                <w:szCs w:val="24"/>
                <w:lang w:val="kk-KZ"/>
              </w:rPr>
              <w:t>.-</w:t>
            </w:r>
            <w:r w:rsidRPr="00A5445E">
              <w:rPr>
                <w:b w:val="0"/>
                <w:sz w:val="24"/>
                <w:szCs w:val="24"/>
                <w:lang w:val="en-US"/>
              </w:rPr>
              <w:t>7</w:t>
            </w:r>
            <w:r w:rsidRPr="00A5445E">
              <w:rPr>
                <w:b w:val="0"/>
                <w:sz w:val="24"/>
                <w:szCs w:val="24"/>
                <w:lang w:val="kk-KZ"/>
              </w:rPr>
              <w:t xml:space="preserve">. </w:t>
            </w:r>
            <w:hyperlink r:id="rId13" w:anchor="Future_and_developing_technologies" w:history="1">
              <w:r w:rsidR="00F55929" w:rsidRPr="003034AF">
                <w:rPr>
                  <w:rStyle w:val="toctext"/>
                  <w:b w:val="0"/>
                  <w:sz w:val="24"/>
                  <w:szCs w:val="24"/>
                  <w:shd w:val="clear" w:color="auto" w:fill="F8F9FA"/>
                  <w:lang w:val="en-US"/>
                </w:rPr>
                <w:t>Future and developing technologies</w:t>
              </w:r>
            </w:hyperlink>
            <w:r w:rsidR="00F82BE5" w:rsidRPr="003034AF"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  <w:t xml:space="preserve"> of radiation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9506BB" w:rsidP="000836DE">
            <w:pPr>
              <w:pStyle w:val="4"/>
              <w:spacing w:before="0" w:after="0"/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</w:pPr>
            <w:proofErr w:type="gramStart"/>
            <w:r>
              <w:rPr>
                <w:b w:val="0"/>
                <w:sz w:val="24"/>
                <w:szCs w:val="24"/>
                <w:lang w:val="en-US"/>
              </w:rPr>
              <w:t>D</w:t>
            </w:r>
            <w:r w:rsidR="00765A07" w:rsidRPr="00A5445E">
              <w:rPr>
                <w:b w:val="0"/>
                <w:sz w:val="24"/>
                <w:szCs w:val="24"/>
                <w:lang w:val="en-US"/>
              </w:rPr>
              <w:t>SWT 3.</w:t>
            </w:r>
            <w:proofErr w:type="gramEnd"/>
            <w:r w:rsidR="00765A07" w:rsidRPr="00A5445E">
              <w:rPr>
                <w:b w:val="0"/>
                <w:sz w:val="24"/>
                <w:szCs w:val="24"/>
                <w:lang w:val="en-US"/>
              </w:rPr>
              <w:t xml:space="preserve"> Prepare the report: </w:t>
            </w:r>
            <w:r w:rsidR="00F55929" w:rsidRPr="00A5445E"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  <w:t>How to work with r</w:t>
            </w:r>
            <w:r w:rsidR="00F82BE5" w:rsidRPr="00A5445E"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  <w:t>adioactive materials</w:t>
            </w:r>
            <w:r w:rsidR="00F55929" w:rsidRPr="00A5445E"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  <w:t xml:space="preserve">: emergency, security. </w:t>
            </w:r>
            <w:proofErr w:type="gramStart"/>
            <w:r w:rsidR="00F55929" w:rsidRPr="00A5445E">
              <w:rPr>
                <w:rFonts w:eastAsiaTheme="minorEastAsia"/>
                <w:b w:val="0"/>
                <w:sz w:val="24"/>
                <w:szCs w:val="24"/>
                <w:lang w:val="en-US" w:eastAsia="ja-JP"/>
              </w:rPr>
              <w:t>mechanism</w:t>
            </w:r>
            <w:proofErr w:type="gramEnd"/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25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kk-KZ"/>
              </w:rPr>
              <w:t>1</w:t>
            </w:r>
            <w:proofErr w:type="spellStart"/>
            <w:r w:rsidRPr="00A5445E">
              <w:rPr>
                <w:b/>
                <w:color w:val="auto"/>
                <w:lang w:val="en-US"/>
              </w:rPr>
              <w:t>stIntermediate</w:t>
            </w:r>
            <w:proofErr w:type="spellEnd"/>
            <w:r w:rsidRPr="00A5445E">
              <w:rPr>
                <w:b/>
                <w:color w:val="auto"/>
                <w:lang w:val="en-US"/>
              </w:rPr>
              <w:t xml:space="preserve"> Control (IC1)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1701" w:type="dxa"/>
          </w:tcPr>
          <w:p w:rsidR="00765A07" w:rsidRPr="00A5445E" w:rsidRDefault="00765A07" w:rsidP="000836DE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100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8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Midterm (MT)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  <w:tc>
          <w:tcPr>
            <w:tcW w:w="1701" w:type="dxa"/>
          </w:tcPr>
          <w:p w:rsidR="00765A07" w:rsidRPr="00A5445E" w:rsidRDefault="00765A07" w:rsidP="000836DE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100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8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2"/>
              <w:pBdr>
                <w:top w:val="single" w:sz="6" w:space="3" w:color="E9E9EA"/>
                <w:left w:val="single" w:sz="2" w:space="0" w:color="E9E9EA"/>
                <w:bottom w:val="single" w:sz="6" w:space="1" w:color="E9E9EA"/>
                <w:right w:val="single" w:sz="2" w:space="0" w:color="E9E9EA"/>
              </w:pBdr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ja-JP"/>
              </w:rPr>
            </w:pPr>
            <w:proofErr w:type="gramStart"/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L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-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8</w:t>
            </w:r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</w:t>
            </w:r>
            <w:proofErr w:type="gramEnd"/>
            <w:r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F82BE5" w:rsidRPr="00A54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Nuclear Fission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-</w:t>
            </w:r>
          </w:p>
        </w:tc>
      </w:tr>
      <w:tr w:rsidR="00765A07" w:rsidRPr="00A5445E" w:rsidTr="00B74786">
        <w:trPr>
          <w:trHeight w:val="3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</w:t>
            </w:r>
            <w:r w:rsidRPr="00A5445E">
              <w:rPr>
                <w:lang w:val="en-US"/>
              </w:rPr>
              <w:t>8</w:t>
            </w:r>
            <w:r w:rsidRPr="00A5445E">
              <w:rPr>
                <w:lang w:val="kk-KZ"/>
              </w:rPr>
              <w:t>.</w:t>
            </w:r>
            <w:r w:rsidRPr="00A5445E">
              <w:rPr>
                <w:lang w:val="en-US"/>
              </w:rPr>
              <w:t xml:space="preserve"> </w:t>
            </w:r>
            <w:hyperlink r:id="rId14" w:anchor="Natural_nuclear_reactors" w:history="1">
              <w:r w:rsidR="00F82BE5" w:rsidRPr="00A5445E">
                <w:rPr>
                  <w:rStyle w:val="toctext"/>
                  <w:rFonts w:eastAsiaTheme="minorEastAsia"/>
                  <w:shd w:val="clear" w:color="auto" w:fill="F8F9FA"/>
                  <w:lang w:eastAsia="ja-JP"/>
                </w:rPr>
                <w:t>Nuiclear</w:t>
              </w:r>
            </w:hyperlink>
            <w:r w:rsidR="00F82BE5" w:rsidRPr="00A5445E">
              <w:rPr>
                <w:rFonts w:eastAsiaTheme="minorEastAsia"/>
                <w:lang w:eastAsia="ja-JP"/>
              </w:rPr>
              <w:t xml:space="preserve"> interactions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68"/>
        </w:trPr>
        <w:tc>
          <w:tcPr>
            <w:tcW w:w="9639" w:type="dxa"/>
            <w:gridSpan w:val="4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b/>
                <w:lang w:val="en-US"/>
              </w:rPr>
              <w:t>Module 3</w:t>
            </w:r>
          </w:p>
        </w:tc>
      </w:tr>
      <w:tr w:rsidR="00765A07" w:rsidRPr="00A5445E" w:rsidTr="00B74786">
        <w:trPr>
          <w:trHeight w:val="29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9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jc w:val="both"/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 xml:space="preserve">L-9. </w:t>
            </w:r>
            <w:r w:rsidR="00F82BE5" w:rsidRPr="00A5445E">
              <w:rPr>
                <w:rFonts w:eastAsiaTheme="minorEastAsia"/>
                <w:lang w:val="en-US" w:eastAsia="ja-JP"/>
              </w:rPr>
              <w:t>Units of radiation intensity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kk-KZ"/>
              </w:rPr>
            </w:pPr>
            <w:r w:rsidRPr="00A5445E">
              <w:rPr>
                <w:lang w:val="kk-KZ"/>
              </w:rPr>
              <w:t>-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jc w:val="both"/>
              <w:rPr>
                <w:lang w:val="kk-KZ"/>
              </w:rPr>
            </w:pPr>
            <w:r w:rsidRPr="00A5445E">
              <w:rPr>
                <w:lang w:val="en-US"/>
              </w:rPr>
              <w:t>S-</w:t>
            </w:r>
            <w:r w:rsidRPr="00A5445E">
              <w:rPr>
                <w:lang w:val="kk-KZ"/>
              </w:rPr>
              <w:t xml:space="preserve">9. </w:t>
            </w:r>
            <w:r w:rsidR="00F82BE5" w:rsidRPr="00A5445E">
              <w:rPr>
                <w:rFonts w:eastAsiaTheme="minorEastAsia"/>
                <w:lang w:val="en-US" w:eastAsia="ja-JP"/>
              </w:rPr>
              <w:t>Biological effects of radiation</w:t>
            </w:r>
            <w:r w:rsidRPr="00A5445E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9506BB" w:rsidP="000836DE">
            <w:pPr>
              <w:rPr>
                <w:lang w:val="kk-KZ"/>
              </w:rPr>
            </w:pPr>
            <w:r>
              <w:rPr>
                <w:lang w:val="en-US"/>
              </w:rPr>
              <w:t>D</w:t>
            </w:r>
            <w:r w:rsidR="00765A07" w:rsidRPr="00A5445E">
              <w:rPr>
                <w:lang w:val="en-US"/>
              </w:rPr>
              <w:t>SWT 4.</w:t>
            </w:r>
            <w:r w:rsidR="00F82BE5" w:rsidRPr="00A5445E">
              <w:rPr>
                <w:rFonts w:eastAsiaTheme="minorEastAsia"/>
                <w:lang w:val="en-US" w:eastAsia="ja-JP"/>
              </w:rPr>
              <w:t xml:space="preserve"> Biological effects of radiation</w:t>
            </w:r>
            <w:r w:rsidR="00F82BE5" w:rsidRPr="00A5445E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10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10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rFonts w:eastAsiaTheme="minorEastAsia"/>
                <w:color w:val="auto"/>
                <w:lang w:val="en-US" w:eastAsia="ja-JP"/>
              </w:rPr>
            </w:pPr>
            <w:r w:rsidRPr="00A5445E">
              <w:rPr>
                <w:color w:val="auto"/>
                <w:lang w:val="en-US"/>
              </w:rPr>
              <w:t>L</w:t>
            </w:r>
            <w:r w:rsidRPr="00A5445E">
              <w:rPr>
                <w:color w:val="auto"/>
                <w:lang w:val="kk-KZ"/>
              </w:rPr>
              <w:t>-</w:t>
            </w:r>
            <w:r w:rsidRPr="00A5445E">
              <w:rPr>
                <w:color w:val="auto"/>
                <w:lang w:val="en-US"/>
              </w:rPr>
              <w:t>10</w:t>
            </w:r>
            <w:r w:rsidRPr="00A5445E">
              <w:rPr>
                <w:color w:val="auto"/>
                <w:lang w:val="kk-KZ"/>
              </w:rPr>
              <w:t xml:space="preserve">. </w:t>
            </w:r>
            <w:hyperlink r:id="rId15" w:anchor="ECSArticleLink2" w:history="1">
              <w:r w:rsidR="00F82BE5" w:rsidRPr="00A5445E">
                <w:rPr>
                  <w:rStyle w:val="a5"/>
                  <w:rFonts w:eastAsiaTheme="minorEastAsia"/>
                  <w:color w:val="auto"/>
                  <w:u w:val="none"/>
                  <w:shd w:val="clear" w:color="auto" w:fill="FFFFFF"/>
                  <w:lang w:eastAsia="ja-JP"/>
                </w:rPr>
                <w:t>Radiation</w:t>
              </w:r>
            </w:hyperlink>
            <w:r w:rsidR="00F82BE5" w:rsidRPr="00A5445E">
              <w:rPr>
                <w:rFonts w:eastAsiaTheme="minorEastAsia"/>
                <w:color w:val="auto"/>
                <w:lang w:eastAsia="ja-JP"/>
              </w:rPr>
              <w:t xml:space="preserve"> protection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</w:pPr>
            <w:r w:rsidRPr="00A5445E">
              <w:t>-</w:t>
            </w:r>
          </w:p>
        </w:tc>
      </w:tr>
      <w:tr w:rsidR="00765A07" w:rsidRPr="00A5445E" w:rsidTr="00B74786">
        <w:trPr>
          <w:trHeight w:val="284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rPr>
                <w:rFonts w:eastAsiaTheme="minorEastAsia"/>
                <w:lang w:val="kk-KZ" w:eastAsia="ja-JP"/>
              </w:rPr>
            </w:pP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</w:t>
            </w:r>
            <w:r w:rsidRPr="00A5445E">
              <w:rPr>
                <w:lang w:val="en-US"/>
              </w:rPr>
              <w:t>10</w:t>
            </w:r>
            <w:r w:rsidRPr="00A5445E">
              <w:rPr>
                <w:b/>
                <w:lang w:val="kk-KZ"/>
              </w:rPr>
              <w:t xml:space="preserve">. </w:t>
            </w:r>
            <w:hyperlink r:id="rId16" w:anchor="ECSArticleLink1" w:history="1">
              <w:r w:rsidR="00F82BE5" w:rsidRPr="003034AF">
                <w:rPr>
                  <w:rStyle w:val="a5"/>
                  <w:rFonts w:eastAsiaTheme="minorEastAsia"/>
                  <w:color w:val="auto"/>
                  <w:u w:val="none"/>
                  <w:shd w:val="clear" w:color="auto" w:fill="FFFFFF"/>
                  <w:lang w:val="en-US" w:eastAsia="ja-JP"/>
                </w:rPr>
                <w:t>External/internal</w:t>
              </w:r>
            </w:hyperlink>
            <w:r w:rsidR="00F82BE5" w:rsidRPr="003034AF">
              <w:rPr>
                <w:rFonts w:eastAsiaTheme="minorEastAsia"/>
                <w:lang w:val="en-US" w:eastAsia="ja-JP"/>
              </w:rPr>
              <w:t xml:space="preserve"> radiation exposure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11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jc w:val="both"/>
              <w:rPr>
                <w:rFonts w:eastAsiaTheme="minorEastAsia"/>
                <w:lang w:val="kk-KZ" w:eastAsia="ja-JP"/>
              </w:rPr>
            </w:pPr>
            <w:r w:rsidRPr="00A5445E">
              <w:rPr>
                <w:lang w:val="en-US"/>
              </w:rPr>
              <w:t>L</w:t>
            </w:r>
            <w:r w:rsidRPr="00A5445E">
              <w:rPr>
                <w:lang w:val="kk-KZ"/>
              </w:rPr>
              <w:t>-</w:t>
            </w:r>
            <w:r w:rsidRPr="00A5445E">
              <w:rPr>
                <w:lang w:val="en-US"/>
              </w:rPr>
              <w:t xml:space="preserve">11. </w:t>
            </w:r>
            <w:r w:rsidR="00F82BE5" w:rsidRPr="00A5445E">
              <w:rPr>
                <w:rFonts w:eastAsiaTheme="minorEastAsia"/>
                <w:lang w:val="en-US" w:eastAsia="ja-JP"/>
              </w:rPr>
              <w:t>Radiation Survey meters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-</w:t>
            </w:r>
          </w:p>
        </w:tc>
      </w:tr>
      <w:tr w:rsidR="00765A07" w:rsidRPr="00A5445E" w:rsidTr="00B74786">
        <w:trPr>
          <w:trHeight w:val="284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</w:t>
            </w:r>
            <w:r w:rsidRPr="00A5445E">
              <w:rPr>
                <w:lang w:val="en-US"/>
              </w:rPr>
              <w:t>11</w:t>
            </w:r>
            <w:r w:rsidRPr="00A5445E">
              <w:rPr>
                <w:lang w:val="kk-KZ"/>
              </w:rPr>
              <w:t>.</w:t>
            </w:r>
            <w:r w:rsidRPr="00A5445E">
              <w:rPr>
                <w:lang w:val="en-US"/>
              </w:rPr>
              <w:t xml:space="preserve"> </w:t>
            </w:r>
            <w:r w:rsidR="00F82BE5" w:rsidRPr="00A5445E">
              <w:rPr>
                <w:rFonts w:eastAsiaTheme="minorEastAsia"/>
                <w:lang w:val="en-US" w:eastAsia="ja-JP"/>
              </w:rPr>
              <w:t>Dose rate meter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134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9506BB" w:rsidP="000836DE">
            <w:pPr>
              <w:rPr>
                <w:rFonts w:eastAsiaTheme="minorEastAsia"/>
                <w:lang w:val="en-US" w:eastAsia="ja-JP"/>
              </w:rPr>
            </w:pPr>
            <w:r>
              <w:rPr>
                <w:lang w:val="en-US"/>
              </w:rPr>
              <w:t>D</w:t>
            </w:r>
            <w:r w:rsidR="00765A07" w:rsidRPr="00A5445E">
              <w:rPr>
                <w:lang w:val="en-US"/>
              </w:rPr>
              <w:t xml:space="preserve">SWT 5. </w:t>
            </w:r>
            <w:r w:rsidR="00F82BE5" w:rsidRPr="00A5445E">
              <w:rPr>
                <w:rFonts w:eastAsiaTheme="minorEastAsia"/>
                <w:lang w:val="en-US" w:eastAsia="ja-JP"/>
              </w:rPr>
              <w:t>Types of Radiation Survey meters.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10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12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jc w:val="both"/>
              <w:rPr>
                <w:rFonts w:eastAsiaTheme="minorEastAsia"/>
                <w:lang w:val="kk-KZ" w:eastAsia="ja-JP"/>
              </w:rPr>
            </w:pPr>
            <w:r w:rsidRPr="00A5445E">
              <w:rPr>
                <w:lang w:val="en-US"/>
              </w:rPr>
              <w:t>L</w:t>
            </w:r>
            <w:r w:rsidRPr="00A5445E">
              <w:rPr>
                <w:lang w:val="kk-KZ"/>
              </w:rPr>
              <w:t>-1</w:t>
            </w:r>
            <w:r w:rsidRPr="00A5445E">
              <w:rPr>
                <w:lang w:val="en-US"/>
              </w:rPr>
              <w:t>2</w:t>
            </w:r>
            <w:r w:rsidRPr="00A5445E">
              <w:rPr>
                <w:lang w:val="kk-KZ"/>
              </w:rPr>
              <w:t>.</w:t>
            </w:r>
            <w:r w:rsidRPr="00A5445E">
              <w:rPr>
                <w:lang w:val="en-US"/>
              </w:rPr>
              <w:t xml:space="preserve"> </w:t>
            </w:r>
            <w:r w:rsidR="00F82BE5" w:rsidRPr="00A5445E">
              <w:rPr>
                <w:rFonts w:eastAsiaTheme="minorEastAsia"/>
                <w:lang w:val="en-US" w:eastAsia="ja-JP"/>
              </w:rPr>
              <w:t>Laboratory rules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</w:pPr>
            <w:r w:rsidRPr="00A5445E">
              <w:t>-</w:t>
            </w:r>
          </w:p>
        </w:tc>
      </w:tr>
      <w:tr w:rsidR="00765A07" w:rsidRPr="00A5445E" w:rsidTr="00B74786">
        <w:trPr>
          <w:trHeight w:val="251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rPr>
                <w:lang w:eastAsia="ja-JP"/>
              </w:rPr>
            </w:pP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</w:t>
            </w:r>
            <w:r w:rsidRPr="00A5445E">
              <w:rPr>
                <w:lang w:val="en-US"/>
              </w:rPr>
              <w:t xml:space="preserve">12 </w:t>
            </w:r>
            <w:r w:rsidR="00F82BE5" w:rsidRPr="00A5445E">
              <w:rPr>
                <w:rFonts w:eastAsiaTheme="minorEastAsia"/>
                <w:lang w:val="en-US" w:eastAsia="ja-JP"/>
              </w:rPr>
              <w:t>Security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  <w:r w:rsidRPr="00A5445E">
              <w:rPr>
                <w:b/>
              </w:rPr>
              <w:t>13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b/>
                <w:color w:val="auto"/>
                <w:lang w:val="kk-KZ"/>
              </w:rPr>
            </w:pPr>
            <w:r w:rsidRPr="00A5445E">
              <w:rPr>
                <w:color w:val="auto"/>
                <w:lang w:val="en-US"/>
              </w:rPr>
              <w:t>L</w:t>
            </w:r>
            <w:r w:rsidRPr="00A5445E">
              <w:rPr>
                <w:color w:val="auto"/>
                <w:lang w:val="kk-KZ"/>
              </w:rPr>
              <w:t>-1</w:t>
            </w:r>
            <w:r w:rsidRPr="00A5445E">
              <w:rPr>
                <w:color w:val="auto"/>
                <w:lang w:val="en-US"/>
              </w:rPr>
              <w:t>3</w:t>
            </w:r>
            <w:r w:rsidRPr="00A5445E">
              <w:rPr>
                <w:color w:val="auto"/>
                <w:lang w:val="kk-KZ"/>
              </w:rPr>
              <w:t xml:space="preserve">. </w:t>
            </w:r>
            <w:r w:rsidR="00F82BE5" w:rsidRPr="00A5445E">
              <w:rPr>
                <w:rStyle w:val="70"/>
                <w:rFonts w:eastAsiaTheme="minorEastAsia"/>
                <w:color w:val="auto"/>
                <w:lang w:val="en-US" w:eastAsia="ja-JP"/>
              </w:rPr>
              <w:t>Emergency procedures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kk-KZ"/>
              </w:rPr>
            </w:pPr>
            <w:r w:rsidRPr="00A5445E">
              <w:rPr>
                <w:lang w:val="kk-KZ"/>
              </w:rPr>
              <w:t>-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-1</w:t>
            </w:r>
            <w:r w:rsidRPr="00A5445E">
              <w:rPr>
                <w:lang w:val="en-US"/>
              </w:rPr>
              <w:t>3</w:t>
            </w:r>
            <w:r w:rsidRPr="00A5445E">
              <w:rPr>
                <w:b/>
                <w:lang w:val="kk-KZ"/>
              </w:rPr>
              <w:t xml:space="preserve">. </w:t>
            </w:r>
            <w:r w:rsidR="00F82BE5" w:rsidRPr="00A5445E">
              <w:rPr>
                <w:rFonts w:eastAsiaTheme="minorEastAsia"/>
                <w:lang w:val="en-US" w:eastAsia="ja-JP"/>
              </w:rPr>
              <w:t>Area decontamination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</w:p>
        </w:tc>
        <w:tc>
          <w:tcPr>
            <w:tcW w:w="6128" w:type="dxa"/>
          </w:tcPr>
          <w:p w:rsidR="00765A07" w:rsidRPr="00A5445E" w:rsidRDefault="009506BB" w:rsidP="000836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A5445E">
              <w:rPr>
                <w:lang w:val="en-US"/>
              </w:rPr>
              <w:t>SW</w:t>
            </w:r>
            <w:r>
              <w:rPr>
                <w:lang w:val="en-US"/>
              </w:rPr>
              <w:t>T</w:t>
            </w:r>
            <w:r w:rsidRPr="00A5445E">
              <w:rPr>
                <w:lang w:val="en-US"/>
              </w:rPr>
              <w:t xml:space="preserve"> 6. </w:t>
            </w:r>
            <w:r w:rsidR="00765A07" w:rsidRPr="00A5445E">
              <w:rPr>
                <w:lang w:val="en-US"/>
              </w:rPr>
              <w:t xml:space="preserve">Prepare the report: </w:t>
            </w:r>
            <w:r w:rsidR="00F82BE5" w:rsidRPr="00A5445E">
              <w:rPr>
                <w:rStyle w:val="70"/>
                <w:rFonts w:eastAsiaTheme="minorEastAsia"/>
                <w:lang w:val="en-US" w:eastAsia="ja-JP"/>
              </w:rPr>
              <w:t>Emergency procedures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20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14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bCs/>
                <w:color w:val="auto"/>
                <w:lang w:val="en-US"/>
              </w:rPr>
            </w:pPr>
            <w:r w:rsidRPr="00A5445E">
              <w:rPr>
                <w:color w:val="auto"/>
                <w:lang w:val="en-US"/>
              </w:rPr>
              <w:t>L</w:t>
            </w:r>
            <w:r w:rsidRPr="00A5445E">
              <w:rPr>
                <w:color w:val="auto"/>
                <w:lang w:val="kk-KZ"/>
              </w:rPr>
              <w:t>-1</w:t>
            </w:r>
            <w:r w:rsidRPr="00A5445E">
              <w:rPr>
                <w:color w:val="auto"/>
                <w:lang w:val="en-US"/>
              </w:rPr>
              <w:t>4</w:t>
            </w:r>
            <w:r w:rsidRPr="00A5445E">
              <w:rPr>
                <w:color w:val="auto"/>
                <w:lang w:val="kk-KZ"/>
              </w:rPr>
              <w:t>.</w:t>
            </w:r>
            <w:r w:rsidRPr="00A5445E">
              <w:rPr>
                <w:color w:val="auto"/>
                <w:lang w:val="en-US"/>
              </w:rPr>
              <w:t xml:space="preserve"> </w:t>
            </w:r>
            <w:r w:rsidR="00F82BE5" w:rsidRPr="00A5445E">
              <w:rPr>
                <w:rFonts w:eastAsiaTheme="minorEastAsia"/>
                <w:color w:val="auto"/>
                <w:lang w:val="en-US" w:eastAsia="ja-JP"/>
              </w:rPr>
              <w:t>Radioactive waste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kk-KZ"/>
              </w:rPr>
            </w:pPr>
            <w:r w:rsidRPr="00A5445E">
              <w:rPr>
                <w:lang w:val="kk-KZ"/>
              </w:rPr>
              <w:t>-</w:t>
            </w:r>
          </w:p>
        </w:tc>
      </w:tr>
      <w:tr w:rsidR="00765A07" w:rsidRPr="00A5445E" w:rsidTr="00B74786">
        <w:trPr>
          <w:trHeight w:val="502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-1</w:t>
            </w:r>
            <w:r w:rsidRPr="00A5445E">
              <w:rPr>
                <w:lang w:val="en-US"/>
              </w:rPr>
              <w:t>4</w:t>
            </w:r>
            <w:r w:rsidRPr="00A5445E">
              <w:rPr>
                <w:lang w:val="kk-KZ"/>
              </w:rPr>
              <w:t>.</w:t>
            </w:r>
            <w:r w:rsidRPr="00A5445E">
              <w:rPr>
                <w:lang w:val="en-US"/>
              </w:rPr>
              <w:t xml:space="preserve"> </w:t>
            </w:r>
            <w:r w:rsidR="00F82BE5" w:rsidRPr="00A5445E">
              <w:rPr>
                <w:rFonts w:eastAsiaTheme="minorEastAsia"/>
                <w:lang w:val="en-US" w:eastAsia="ja-JP"/>
              </w:rPr>
              <w:t>Classification of waste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 w:val="restart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15</w:t>
            </w: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rFonts w:eastAsiaTheme="minorEastAsia"/>
                <w:color w:val="auto"/>
                <w:lang w:val="en-US" w:eastAsia="ja-JP"/>
              </w:rPr>
            </w:pPr>
            <w:r w:rsidRPr="00A5445E">
              <w:rPr>
                <w:color w:val="auto"/>
                <w:lang w:val="en-US"/>
              </w:rPr>
              <w:t>L</w:t>
            </w:r>
            <w:r w:rsidRPr="00A5445E">
              <w:rPr>
                <w:color w:val="auto"/>
                <w:lang w:val="kk-KZ"/>
              </w:rPr>
              <w:t>-1</w:t>
            </w:r>
            <w:r w:rsidRPr="00A5445E">
              <w:rPr>
                <w:color w:val="auto"/>
                <w:lang w:val="en-US"/>
              </w:rPr>
              <w:t>5</w:t>
            </w:r>
            <w:r w:rsidRPr="00A5445E">
              <w:rPr>
                <w:b/>
                <w:color w:val="auto"/>
                <w:lang w:val="kk-KZ"/>
              </w:rPr>
              <w:t>.</w:t>
            </w:r>
            <w:r w:rsidRPr="00A5445E">
              <w:rPr>
                <w:color w:val="auto"/>
                <w:lang w:val="en-US"/>
              </w:rPr>
              <w:t xml:space="preserve"> </w:t>
            </w:r>
            <w:r w:rsidR="00A5445E" w:rsidRPr="00A5445E">
              <w:rPr>
                <w:rStyle w:val="40"/>
                <w:rFonts w:eastAsiaTheme="minorEastAsia"/>
                <w:b w:val="0"/>
                <w:color w:val="auto"/>
                <w:sz w:val="24"/>
                <w:szCs w:val="24"/>
                <w:lang w:val="en-US" w:eastAsia="ja-JP"/>
              </w:rPr>
              <w:t>Sum of the Radiation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kk-KZ"/>
              </w:rPr>
            </w:pPr>
            <w:r w:rsidRPr="00A5445E">
              <w:rPr>
                <w:lang w:val="kk-KZ"/>
              </w:rPr>
              <w:t>-</w:t>
            </w:r>
          </w:p>
        </w:tc>
      </w:tr>
      <w:tr w:rsidR="00765A07" w:rsidRPr="00A5445E" w:rsidTr="00B74786">
        <w:trPr>
          <w:trHeight w:val="234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rPr>
                <w:rFonts w:eastAsiaTheme="minorEastAsia"/>
                <w:lang w:val="en-US" w:eastAsia="ja-JP"/>
              </w:rPr>
            </w:pPr>
            <w:r w:rsidRPr="00A5445E">
              <w:rPr>
                <w:lang w:val="en-US"/>
              </w:rPr>
              <w:t>S</w:t>
            </w:r>
            <w:r w:rsidRPr="00A5445E">
              <w:rPr>
                <w:lang w:val="kk-KZ"/>
              </w:rPr>
              <w:t>-1</w:t>
            </w:r>
            <w:r w:rsidRPr="00A5445E">
              <w:rPr>
                <w:lang w:val="en-US"/>
              </w:rPr>
              <w:t>5</w:t>
            </w:r>
            <w:r w:rsidRPr="00A5445E">
              <w:rPr>
                <w:b/>
                <w:lang w:val="kk-KZ"/>
              </w:rPr>
              <w:t>.</w:t>
            </w:r>
            <w:r w:rsidRPr="00A5445E">
              <w:rPr>
                <w:lang w:val="en-US"/>
              </w:rPr>
              <w:t xml:space="preserve"> </w:t>
            </w:r>
            <w:r w:rsidR="00A5445E" w:rsidRPr="00A5445E">
              <w:rPr>
                <w:rFonts w:eastAsiaTheme="minorEastAsia"/>
                <w:lang w:val="en-US" w:eastAsia="ja-JP"/>
              </w:rPr>
              <w:t>radiation worker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5</w:t>
            </w:r>
          </w:p>
        </w:tc>
      </w:tr>
      <w:tr w:rsidR="00765A07" w:rsidRPr="00A5445E" w:rsidTr="00B74786">
        <w:trPr>
          <w:trHeight w:val="214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</w:rPr>
            </w:pPr>
          </w:p>
        </w:tc>
        <w:tc>
          <w:tcPr>
            <w:tcW w:w="6128" w:type="dxa"/>
          </w:tcPr>
          <w:p w:rsidR="00765A07" w:rsidRPr="00A5445E" w:rsidRDefault="009506BB" w:rsidP="000836D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765A07" w:rsidRPr="00A5445E">
              <w:rPr>
                <w:lang w:val="en-US"/>
              </w:rPr>
              <w:t>SW</w:t>
            </w:r>
            <w:r>
              <w:rPr>
                <w:lang w:val="en-US"/>
              </w:rPr>
              <w:t>T</w:t>
            </w:r>
            <w:r w:rsidR="00765A07" w:rsidRPr="00A5445E">
              <w:rPr>
                <w:lang w:val="en-US"/>
              </w:rPr>
              <w:t xml:space="preserve"> 7. Prepare the report: </w:t>
            </w:r>
            <w:r w:rsidR="00A5445E" w:rsidRPr="00A5445E">
              <w:rPr>
                <w:rFonts w:eastAsiaTheme="minorEastAsia"/>
                <w:lang w:val="en-US" w:eastAsia="ja-JP"/>
              </w:rPr>
              <w:t>How to work: emergency, security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  <w:r w:rsidRPr="00A5445E">
              <w:rPr>
                <w:b/>
                <w:lang w:val="en-US"/>
              </w:rPr>
              <w:t>1</w:t>
            </w:r>
          </w:p>
        </w:tc>
        <w:tc>
          <w:tcPr>
            <w:tcW w:w="1701" w:type="dxa"/>
          </w:tcPr>
          <w:p w:rsidR="00765A07" w:rsidRPr="00A5445E" w:rsidRDefault="00765A07" w:rsidP="000836DE">
            <w:pPr>
              <w:jc w:val="center"/>
              <w:rPr>
                <w:lang w:val="en-US"/>
              </w:rPr>
            </w:pPr>
            <w:r w:rsidRPr="00A5445E">
              <w:rPr>
                <w:lang w:val="en-US"/>
              </w:rPr>
              <w:t>25</w:t>
            </w:r>
          </w:p>
        </w:tc>
      </w:tr>
      <w:tr w:rsidR="00765A07" w:rsidRPr="00A5445E" w:rsidTr="00B74786">
        <w:trPr>
          <w:trHeight w:val="255"/>
        </w:trPr>
        <w:tc>
          <w:tcPr>
            <w:tcW w:w="676" w:type="dxa"/>
            <w:vMerge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2</w:t>
            </w:r>
            <w:r w:rsidRPr="00A5445E">
              <w:rPr>
                <w:b/>
                <w:color w:val="auto"/>
                <w:vertAlign w:val="superscript"/>
                <w:lang w:val="en-US"/>
              </w:rPr>
              <w:t>nd</w:t>
            </w:r>
            <w:r w:rsidRPr="00A5445E">
              <w:rPr>
                <w:b/>
                <w:color w:val="auto"/>
                <w:lang w:val="en-US"/>
              </w:rPr>
              <w:t xml:space="preserve"> Intermediate Control (IC2)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  <w:tc>
          <w:tcPr>
            <w:tcW w:w="1701" w:type="dxa"/>
          </w:tcPr>
          <w:p w:rsidR="00765A07" w:rsidRPr="00A5445E" w:rsidRDefault="00765A07" w:rsidP="000836DE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100</w:t>
            </w:r>
          </w:p>
        </w:tc>
      </w:tr>
      <w:tr w:rsidR="00765A07" w:rsidRPr="00A5445E" w:rsidTr="00B74786">
        <w:trPr>
          <w:trHeight w:val="150"/>
        </w:trPr>
        <w:tc>
          <w:tcPr>
            <w:tcW w:w="676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b/>
                <w:color w:val="auto"/>
                <w:lang w:val="kk-KZ"/>
              </w:rPr>
            </w:pPr>
            <w:r w:rsidRPr="00A5445E">
              <w:rPr>
                <w:b/>
                <w:color w:val="auto"/>
                <w:lang w:val="en-US"/>
              </w:rPr>
              <w:t>Exam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  <w:tc>
          <w:tcPr>
            <w:tcW w:w="1701" w:type="dxa"/>
          </w:tcPr>
          <w:p w:rsidR="00765A07" w:rsidRPr="00A5445E" w:rsidRDefault="00765A07" w:rsidP="000836DE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100</w:t>
            </w:r>
          </w:p>
        </w:tc>
      </w:tr>
      <w:tr w:rsidR="00765A07" w:rsidRPr="00A5445E" w:rsidTr="00B74786">
        <w:trPr>
          <w:trHeight w:val="150"/>
        </w:trPr>
        <w:tc>
          <w:tcPr>
            <w:tcW w:w="676" w:type="dxa"/>
          </w:tcPr>
          <w:p w:rsidR="00765A07" w:rsidRPr="00A5445E" w:rsidRDefault="00765A07" w:rsidP="000836D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28" w:type="dxa"/>
          </w:tcPr>
          <w:p w:rsidR="00765A07" w:rsidRPr="00A5445E" w:rsidRDefault="00765A07" w:rsidP="000836DE">
            <w:pPr>
              <w:pStyle w:val="Default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Total</w:t>
            </w:r>
          </w:p>
        </w:tc>
        <w:tc>
          <w:tcPr>
            <w:tcW w:w="1134" w:type="dxa"/>
          </w:tcPr>
          <w:p w:rsidR="00765A07" w:rsidRPr="00A5445E" w:rsidRDefault="00765A07" w:rsidP="000836DE">
            <w:pPr>
              <w:pStyle w:val="Default"/>
              <w:jc w:val="center"/>
              <w:rPr>
                <w:color w:val="auto"/>
                <w:lang w:val="en-US"/>
              </w:rPr>
            </w:pPr>
          </w:p>
        </w:tc>
        <w:tc>
          <w:tcPr>
            <w:tcW w:w="1701" w:type="dxa"/>
          </w:tcPr>
          <w:p w:rsidR="00765A07" w:rsidRPr="00A5445E" w:rsidRDefault="00765A07" w:rsidP="000836DE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>100</w:t>
            </w:r>
          </w:p>
        </w:tc>
      </w:tr>
      <w:tr w:rsidR="00765A07" w:rsidRPr="00A5445E" w:rsidTr="00B74786">
        <w:trPr>
          <w:trHeight w:val="109"/>
        </w:trPr>
        <w:tc>
          <w:tcPr>
            <w:tcW w:w="9639" w:type="dxa"/>
            <w:gridSpan w:val="4"/>
          </w:tcPr>
          <w:p w:rsidR="00765A07" w:rsidRPr="00A5445E" w:rsidRDefault="00765A07" w:rsidP="000836DE">
            <w:pPr>
              <w:pStyle w:val="Default"/>
              <w:jc w:val="both"/>
              <w:rPr>
                <w:b/>
                <w:color w:val="auto"/>
                <w:lang w:val="en-US"/>
              </w:rPr>
            </w:pPr>
            <w:r w:rsidRPr="00A5445E">
              <w:rPr>
                <w:b/>
                <w:color w:val="auto"/>
                <w:lang w:val="en-US"/>
              </w:rPr>
              <w:t xml:space="preserve">Note: Independent work of students with teacher is 7 hours for semester. 3, 5, 7, 9, 11, 13 and 15 </w:t>
            </w:r>
            <w:proofErr w:type="spellStart"/>
            <w:r w:rsidRPr="00A5445E">
              <w:rPr>
                <w:b/>
                <w:color w:val="auto"/>
                <w:lang w:val="en-US"/>
              </w:rPr>
              <w:t>weeksareincludedintosyllabus</w:t>
            </w:r>
            <w:proofErr w:type="spellEnd"/>
            <w:r w:rsidRPr="00A5445E">
              <w:rPr>
                <w:b/>
                <w:color w:val="auto"/>
                <w:lang w:val="en-US"/>
              </w:rPr>
              <w:t xml:space="preserve"> (</w:t>
            </w:r>
            <w:proofErr w:type="spellStart"/>
            <w:r w:rsidRPr="00A5445E">
              <w:rPr>
                <w:b/>
                <w:color w:val="auto"/>
                <w:lang w:val="en-US"/>
              </w:rPr>
              <w:t>assignmentsubmission</w:t>
            </w:r>
            <w:proofErr w:type="spellEnd"/>
            <w:r w:rsidRPr="00A5445E">
              <w:rPr>
                <w:b/>
                <w:color w:val="auto"/>
                <w:lang w:val="en-US"/>
              </w:rPr>
              <w:t>)</w:t>
            </w:r>
          </w:p>
        </w:tc>
      </w:tr>
    </w:tbl>
    <w:p w:rsidR="00472F4A" w:rsidRPr="00A5445E" w:rsidRDefault="00472F4A" w:rsidP="000836DE">
      <w:pPr>
        <w:jc w:val="right"/>
        <w:rPr>
          <w:lang w:val="en-US"/>
        </w:rPr>
      </w:pPr>
    </w:p>
    <w:p w:rsidR="00472F4A" w:rsidRPr="00A5445E" w:rsidRDefault="00472F4A" w:rsidP="000836DE">
      <w:pPr>
        <w:jc w:val="both"/>
        <w:rPr>
          <w:lang w:val="en-US"/>
        </w:rPr>
      </w:pPr>
      <w:proofErr w:type="gramStart"/>
      <w:r w:rsidRPr="00A5445E">
        <w:rPr>
          <w:lang w:val="en-US"/>
        </w:rPr>
        <w:t>Lecturer__</w:t>
      </w:r>
      <w:r w:rsidR="004A2753" w:rsidRPr="00A5445E">
        <w:rPr>
          <w:lang w:val="en-US"/>
        </w:rPr>
        <w:t>__________________________________________</w:t>
      </w:r>
      <w:r w:rsidRPr="00A5445E">
        <w:rPr>
          <w:lang w:val="en-US"/>
        </w:rPr>
        <w:t>______________</w:t>
      </w:r>
      <w:r w:rsidR="00B64144" w:rsidRPr="00A5445E">
        <w:rPr>
          <w:lang w:val="en-US"/>
        </w:rPr>
        <w:t>TakibayevN.Zh.</w:t>
      </w:r>
      <w:proofErr w:type="gramEnd"/>
    </w:p>
    <w:p w:rsidR="00472F4A" w:rsidRPr="00A5445E" w:rsidRDefault="00472F4A" w:rsidP="000836DE">
      <w:pPr>
        <w:jc w:val="both"/>
        <w:rPr>
          <w:lang w:val="en-US"/>
        </w:rPr>
      </w:pPr>
      <w:proofErr w:type="gramStart"/>
      <w:r w:rsidRPr="00A5445E">
        <w:rPr>
          <w:lang w:val="en-US"/>
        </w:rPr>
        <w:t>Head of the Department___</w:t>
      </w:r>
      <w:r w:rsidR="004A2753" w:rsidRPr="00A5445E">
        <w:rPr>
          <w:lang w:val="en-US"/>
        </w:rPr>
        <w:t>_____________________________</w:t>
      </w:r>
      <w:r w:rsidRPr="00A5445E">
        <w:rPr>
          <w:lang w:val="en-US"/>
        </w:rPr>
        <w:t>_______________</w:t>
      </w:r>
      <w:r w:rsidR="00B64144" w:rsidRPr="00A5445E">
        <w:rPr>
          <w:lang w:val="en-US"/>
        </w:rPr>
        <w:t>Abishev M.E.</w:t>
      </w:r>
      <w:proofErr w:type="gramEnd"/>
    </w:p>
    <w:p w:rsidR="002A7EE5" w:rsidRPr="00A5445E" w:rsidRDefault="00472F4A" w:rsidP="000836DE">
      <w:pPr>
        <w:jc w:val="both"/>
        <w:rPr>
          <w:lang w:val="en-US"/>
        </w:rPr>
      </w:pPr>
      <w:proofErr w:type="gramStart"/>
      <w:r w:rsidRPr="00A5445E">
        <w:rPr>
          <w:rStyle w:val="shorttext"/>
          <w:lang w:val="en-US"/>
        </w:rPr>
        <w:t>Chairman of the Faculty Methodical Bureau</w:t>
      </w:r>
      <w:r w:rsidRPr="00A5445E">
        <w:rPr>
          <w:lang w:val="en-US"/>
        </w:rPr>
        <w:t>________</w:t>
      </w:r>
      <w:r w:rsidR="004A2753" w:rsidRPr="00A5445E">
        <w:rPr>
          <w:lang w:val="en-US"/>
        </w:rPr>
        <w:t>_</w:t>
      </w:r>
      <w:r w:rsidRPr="00A5445E">
        <w:rPr>
          <w:lang w:val="en-US"/>
        </w:rPr>
        <w:t>________________</w:t>
      </w:r>
      <w:proofErr w:type="spellStart"/>
      <w:r w:rsidR="00171098" w:rsidRPr="00A5445E">
        <w:rPr>
          <w:lang w:val="en-US"/>
        </w:rPr>
        <w:t>A.T.Gabdullin</w:t>
      </w:r>
      <w:r w:rsidR="00A86B19" w:rsidRPr="00A5445E">
        <w:rPr>
          <w:lang w:val="en-US"/>
        </w:rPr>
        <w:t>a</w:t>
      </w:r>
      <w:proofErr w:type="spellEnd"/>
      <w:r w:rsidR="00A86B19" w:rsidRPr="00A5445E">
        <w:rPr>
          <w:lang w:val="en-US"/>
        </w:rPr>
        <w:t xml:space="preserve"> A.T.</w:t>
      </w:r>
      <w:proofErr w:type="gramEnd"/>
    </w:p>
    <w:sectPr w:rsidR="002A7EE5" w:rsidRPr="00A5445E" w:rsidSect="001F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5477B2"/>
    <w:multiLevelType w:val="hybridMultilevel"/>
    <w:tmpl w:val="202E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B0537"/>
    <w:multiLevelType w:val="hybridMultilevel"/>
    <w:tmpl w:val="936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5C9F"/>
    <w:multiLevelType w:val="hybridMultilevel"/>
    <w:tmpl w:val="277C08DC"/>
    <w:lvl w:ilvl="0" w:tplc="9E34D7F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5066421"/>
    <w:multiLevelType w:val="multilevel"/>
    <w:tmpl w:val="2354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825C5"/>
    <w:multiLevelType w:val="hybridMultilevel"/>
    <w:tmpl w:val="6DEC4F0A"/>
    <w:lvl w:ilvl="0" w:tplc="A844B3E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5BB2531A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691E35A2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0F78EDF4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4D6C8D52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E3B06E06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4FF03DE6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1FB01034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F8B2880C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7">
    <w:nsid w:val="6BF14C71"/>
    <w:multiLevelType w:val="hybridMultilevel"/>
    <w:tmpl w:val="6F20BB1E"/>
    <w:lvl w:ilvl="0" w:tplc="0419000F">
      <w:start w:val="1"/>
      <w:numFmt w:val="decimal"/>
      <w:lvlText w:val="%1."/>
      <w:lvlJc w:val="left"/>
      <w:pPr>
        <w:ind w:left="240" w:hanging="240"/>
      </w:pPr>
      <w:rPr>
        <w:spacing w:val="-8"/>
        <w:w w:val="100"/>
        <w:lang w:val="en-US" w:eastAsia="ru-RU" w:bidi="ru-RU"/>
      </w:rPr>
    </w:lvl>
    <w:lvl w:ilvl="1" w:tplc="368C0A9C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2" w:tplc="64326AFA">
      <w:numFmt w:val="bullet"/>
      <w:lvlText w:val="•"/>
      <w:lvlJc w:val="left"/>
      <w:pPr>
        <w:ind w:left="2131" w:hanging="240"/>
      </w:pPr>
      <w:rPr>
        <w:rFonts w:hint="default"/>
        <w:lang w:val="ru-RU" w:eastAsia="ru-RU" w:bidi="ru-RU"/>
      </w:rPr>
    </w:lvl>
    <w:lvl w:ilvl="3" w:tplc="8042F6B0">
      <w:numFmt w:val="bullet"/>
      <w:lvlText w:val="•"/>
      <w:lvlJc w:val="left"/>
      <w:pPr>
        <w:ind w:left="3077" w:hanging="240"/>
      </w:pPr>
      <w:rPr>
        <w:rFonts w:hint="default"/>
        <w:lang w:val="ru-RU" w:eastAsia="ru-RU" w:bidi="ru-RU"/>
      </w:rPr>
    </w:lvl>
    <w:lvl w:ilvl="4" w:tplc="75DCF1AE">
      <w:numFmt w:val="bullet"/>
      <w:lvlText w:val="•"/>
      <w:lvlJc w:val="left"/>
      <w:pPr>
        <w:ind w:left="4024" w:hanging="240"/>
      </w:pPr>
      <w:rPr>
        <w:rFonts w:hint="default"/>
        <w:lang w:val="ru-RU" w:eastAsia="ru-RU" w:bidi="ru-RU"/>
      </w:rPr>
    </w:lvl>
    <w:lvl w:ilvl="5" w:tplc="495817CE">
      <w:numFmt w:val="bullet"/>
      <w:lvlText w:val="•"/>
      <w:lvlJc w:val="left"/>
      <w:pPr>
        <w:ind w:left="4971" w:hanging="240"/>
      </w:pPr>
      <w:rPr>
        <w:rFonts w:hint="default"/>
        <w:lang w:val="ru-RU" w:eastAsia="ru-RU" w:bidi="ru-RU"/>
      </w:rPr>
    </w:lvl>
    <w:lvl w:ilvl="6" w:tplc="90A6CC42">
      <w:numFmt w:val="bullet"/>
      <w:lvlText w:val="•"/>
      <w:lvlJc w:val="left"/>
      <w:pPr>
        <w:ind w:left="5917" w:hanging="240"/>
      </w:pPr>
      <w:rPr>
        <w:rFonts w:hint="default"/>
        <w:lang w:val="ru-RU" w:eastAsia="ru-RU" w:bidi="ru-RU"/>
      </w:rPr>
    </w:lvl>
    <w:lvl w:ilvl="7" w:tplc="B8D08FA8">
      <w:numFmt w:val="bullet"/>
      <w:lvlText w:val="•"/>
      <w:lvlJc w:val="left"/>
      <w:pPr>
        <w:ind w:left="6864" w:hanging="240"/>
      </w:pPr>
      <w:rPr>
        <w:rFonts w:hint="default"/>
        <w:lang w:val="ru-RU" w:eastAsia="ru-RU" w:bidi="ru-RU"/>
      </w:rPr>
    </w:lvl>
    <w:lvl w:ilvl="8" w:tplc="8F7E6DFE">
      <w:numFmt w:val="bullet"/>
      <w:lvlText w:val="•"/>
      <w:lvlJc w:val="left"/>
      <w:pPr>
        <w:ind w:left="7811" w:hanging="2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4A"/>
    <w:rsid w:val="00014F28"/>
    <w:rsid w:val="00026DD7"/>
    <w:rsid w:val="0008294C"/>
    <w:rsid w:val="000836DE"/>
    <w:rsid w:val="000C27AD"/>
    <w:rsid w:val="000C5E8E"/>
    <w:rsid w:val="001449A8"/>
    <w:rsid w:val="00147DED"/>
    <w:rsid w:val="00171098"/>
    <w:rsid w:val="001A1CC8"/>
    <w:rsid w:val="001A4234"/>
    <w:rsid w:val="001F42AD"/>
    <w:rsid w:val="00204E4D"/>
    <w:rsid w:val="0022610E"/>
    <w:rsid w:val="002665C3"/>
    <w:rsid w:val="002A7EE5"/>
    <w:rsid w:val="002B266B"/>
    <w:rsid w:val="002E3DD9"/>
    <w:rsid w:val="003034AF"/>
    <w:rsid w:val="00315796"/>
    <w:rsid w:val="003828BC"/>
    <w:rsid w:val="003A2949"/>
    <w:rsid w:val="003A464E"/>
    <w:rsid w:val="003A7A1D"/>
    <w:rsid w:val="003C033A"/>
    <w:rsid w:val="003F4CA0"/>
    <w:rsid w:val="00471471"/>
    <w:rsid w:val="00472F4A"/>
    <w:rsid w:val="004A2753"/>
    <w:rsid w:val="005A05AA"/>
    <w:rsid w:val="005D3B2A"/>
    <w:rsid w:val="005F5D75"/>
    <w:rsid w:val="00672D34"/>
    <w:rsid w:val="00684E67"/>
    <w:rsid w:val="006C15F3"/>
    <w:rsid w:val="006D7F89"/>
    <w:rsid w:val="00720D76"/>
    <w:rsid w:val="00726EEF"/>
    <w:rsid w:val="007321F8"/>
    <w:rsid w:val="00765A07"/>
    <w:rsid w:val="007B6E13"/>
    <w:rsid w:val="007C0AC1"/>
    <w:rsid w:val="0082391D"/>
    <w:rsid w:val="008428AA"/>
    <w:rsid w:val="008A38BC"/>
    <w:rsid w:val="00941F94"/>
    <w:rsid w:val="009506BB"/>
    <w:rsid w:val="00976937"/>
    <w:rsid w:val="009C108B"/>
    <w:rsid w:val="00A25CF8"/>
    <w:rsid w:val="00A538A9"/>
    <w:rsid w:val="00A5445E"/>
    <w:rsid w:val="00A60B21"/>
    <w:rsid w:val="00A66C4E"/>
    <w:rsid w:val="00A86536"/>
    <w:rsid w:val="00A86B19"/>
    <w:rsid w:val="00B04471"/>
    <w:rsid w:val="00B64144"/>
    <w:rsid w:val="00BA2F81"/>
    <w:rsid w:val="00C05DB9"/>
    <w:rsid w:val="00C45583"/>
    <w:rsid w:val="00C62CC5"/>
    <w:rsid w:val="00C947D3"/>
    <w:rsid w:val="00CA64CD"/>
    <w:rsid w:val="00CC1867"/>
    <w:rsid w:val="00D427D7"/>
    <w:rsid w:val="00D57808"/>
    <w:rsid w:val="00E13FDD"/>
    <w:rsid w:val="00E513DC"/>
    <w:rsid w:val="00EA33FE"/>
    <w:rsid w:val="00F53C93"/>
    <w:rsid w:val="00F55929"/>
    <w:rsid w:val="00F7797D"/>
    <w:rsid w:val="00F82BE5"/>
    <w:rsid w:val="00F8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F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28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72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72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472F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F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72F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2F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2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472F4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472F4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72F4A"/>
    <w:rPr>
      <w:rFonts w:ascii="Times New Roman" w:hAnsi="Times New Roman" w:cs="Times New Roman" w:hint="default"/>
    </w:rPr>
  </w:style>
  <w:style w:type="character" w:styleId="a5">
    <w:name w:val="Hyperlink"/>
    <w:rsid w:val="00F7797D"/>
    <w:rPr>
      <w:color w:val="0000FF"/>
      <w:u w:val="single"/>
    </w:rPr>
  </w:style>
  <w:style w:type="character" w:customStyle="1" w:styleId="s0">
    <w:name w:val="s0"/>
    <w:rsid w:val="00F7797D"/>
  </w:style>
  <w:style w:type="paragraph" w:styleId="HTML">
    <w:name w:val="HTML Preformatted"/>
    <w:basedOn w:val="a"/>
    <w:link w:val="HTML0"/>
    <w:uiPriority w:val="99"/>
    <w:unhideWhenUsed/>
    <w:rsid w:val="00F77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779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Title"/>
    <w:basedOn w:val="a"/>
    <w:link w:val="a7"/>
    <w:qFormat/>
    <w:rsid w:val="00B64144"/>
    <w:pPr>
      <w:widowControl w:val="0"/>
      <w:shd w:val="clear" w:color="auto" w:fill="FFFFFF"/>
      <w:ind w:right="14"/>
      <w:jc w:val="center"/>
    </w:pPr>
    <w:rPr>
      <w:b/>
      <w:snapToGrid w:val="0"/>
      <w:color w:val="000000"/>
      <w:spacing w:val="-16"/>
      <w:sz w:val="28"/>
      <w:szCs w:val="20"/>
    </w:rPr>
  </w:style>
  <w:style w:type="character" w:customStyle="1" w:styleId="a7">
    <w:name w:val="Название Знак"/>
    <w:basedOn w:val="a0"/>
    <w:link w:val="a6"/>
    <w:rsid w:val="00B64144"/>
    <w:rPr>
      <w:rFonts w:ascii="Times New Roman" w:eastAsia="Times New Roman" w:hAnsi="Times New Roman" w:cs="Times New Roman"/>
      <w:b/>
      <w:snapToGrid w:val="0"/>
      <w:color w:val="000000"/>
      <w:spacing w:val="-16"/>
      <w:sz w:val="28"/>
      <w:szCs w:val="20"/>
      <w:shd w:val="clear" w:color="auto" w:fill="FFFFFF"/>
      <w:lang w:eastAsia="ru-RU"/>
    </w:rPr>
  </w:style>
  <w:style w:type="paragraph" w:customStyle="1" w:styleId="Default">
    <w:name w:val="Default"/>
    <w:rsid w:val="00B641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uiPriority w:val="22"/>
    <w:qFormat/>
    <w:rsid w:val="00B64144"/>
    <w:rPr>
      <w:b/>
      <w:bCs/>
    </w:rPr>
  </w:style>
  <w:style w:type="paragraph" w:styleId="a9">
    <w:name w:val="List Paragraph"/>
    <w:basedOn w:val="a"/>
    <w:uiPriority w:val="1"/>
    <w:qFormat/>
    <w:rsid w:val="00C45583"/>
    <w:pPr>
      <w:widowControl w:val="0"/>
      <w:autoSpaceDE w:val="0"/>
      <w:autoSpaceDN w:val="0"/>
      <w:spacing w:before="41"/>
      <w:ind w:left="822" w:hanging="360"/>
    </w:pPr>
    <w:rPr>
      <w:sz w:val="22"/>
      <w:szCs w:val="22"/>
      <w:lang w:bidi="ru-RU"/>
    </w:rPr>
  </w:style>
  <w:style w:type="character" w:styleId="HTML1">
    <w:name w:val="HTML Cite"/>
    <w:basedOn w:val="a0"/>
    <w:uiPriority w:val="99"/>
    <w:semiHidden/>
    <w:unhideWhenUsed/>
    <w:rsid w:val="007321F8"/>
    <w:rPr>
      <w:i/>
      <w:iCs/>
    </w:rPr>
  </w:style>
  <w:style w:type="character" w:styleId="aa">
    <w:name w:val="Emphasis"/>
    <w:basedOn w:val="a0"/>
    <w:uiPriority w:val="20"/>
    <w:qFormat/>
    <w:rsid w:val="006C15F3"/>
    <w:rPr>
      <w:i/>
      <w:iCs/>
    </w:rPr>
  </w:style>
  <w:style w:type="character" w:customStyle="1" w:styleId="toctext">
    <w:name w:val="toctext"/>
    <w:basedOn w:val="a0"/>
    <w:rsid w:val="00F55929"/>
  </w:style>
  <w:style w:type="character" w:customStyle="1" w:styleId="reference-accessdate">
    <w:name w:val="reference-accessdate"/>
    <w:basedOn w:val="a0"/>
    <w:rsid w:val="00BA2F81"/>
  </w:style>
  <w:style w:type="character" w:customStyle="1" w:styleId="nowrap">
    <w:name w:val="nowrap"/>
    <w:basedOn w:val="a0"/>
    <w:rsid w:val="00BA2F81"/>
  </w:style>
  <w:style w:type="character" w:customStyle="1" w:styleId="20">
    <w:name w:val="Заголовок 2 Знак"/>
    <w:basedOn w:val="a0"/>
    <w:link w:val="2"/>
    <w:uiPriority w:val="9"/>
    <w:rsid w:val="0084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36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F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28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72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72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472F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F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72F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2F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2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472F4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472F4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72F4A"/>
    <w:rPr>
      <w:rFonts w:ascii="Times New Roman" w:hAnsi="Times New Roman" w:cs="Times New Roman" w:hint="default"/>
    </w:rPr>
  </w:style>
  <w:style w:type="character" w:styleId="a5">
    <w:name w:val="Hyperlink"/>
    <w:rsid w:val="00F7797D"/>
    <w:rPr>
      <w:color w:val="0000FF"/>
      <w:u w:val="single"/>
    </w:rPr>
  </w:style>
  <w:style w:type="character" w:customStyle="1" w:styleId="s0">
    <w:name w:val="s0"/>
    <w:rsid w:val="00F7797D"/>
  </w:style>
  <w:style w:type="paragraph" w:styleId="HTML">
    <w:name w:val="HTML Preformatted"/>
    <w:basedOn w:val="a"/>
    <w:link w:val="HTML0"/>
    <w:uiPriority w:val="99"/>
    <w:unhideWhenUsed/>
    <w:rsid w:val="00F77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779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Title"/>
    <w:basedOn w:val="a"/>
    <w:link w:val="a7"/>
    <w:qFormat/>
    <w:rsid w:val="00B64144"/>
    <w:pPr>
      <w:widowControl w:val="0"/>
      <w:shd w:val="clear" w:color="auto" w:fill="FFFFFF"/>
      <w:ind w:right="14"/>
      <w:jc w:val="center"/>
    </w:pPr>
    <w:rPr>
      <w:b/>
      <w:snapToGrid w:val="0"/>
      <w:color w:val="000000"/>
      <w:spacing w:val="-16"/>
      <w:sz w:val="28"/>
      <w:szCs w:val="20"/>
    </w:rPr>
  </w:style>
  <w:style w:type="character" w:customStyle="1" w:styleId="a7">
    <w:name w:val="Название Знак"/>
    <w:basedOn w:val="a0"/>
    <w:link w:val="a6"/>
    <w:rsid w:val="00B64144"/>
    <w:rPr>
      <w:rFonts w:ascii="Times New Roman" w:eastAsia="Times New Roman" w:hAnsi="Times New Roman" w:cs="Times New Roman"/>
      <w:b/>
      <w:snapToGrid w:val="0"/>
      <w:color w:val="000000"/>
      <w:spacing w:val="-16"/>
      <w:sz w:val="28"/>
      <w:szCs w:val="20"/>
      <w:shd w:val="clear" w:color="auto" w:fill="FFFFFF"/>
      <w:lang w:eastAsia="ru-RU"/>
    </w:rPr>
  </w:style>
  <w:style w:type="paragraph" w:customStyle="1" w:styleId="Default">
    <w:name w:val="Default"/>
    <w:rsid w:val="00B641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uiPriority w:val="22"/>
    <w:qFormat/>
    <w:rsid w:val="00B64144"/>
    <w:rPr>
      <w:b/>
      <w:bCs/>
    </w:rPr>
  </w:style>
  <w:style w:type="paragraph" w:styleId="a9">
    <w:name w:val="List Paragraph"/>
    <w:basedOn w:val="a"/>
    <w:uiPriority w:val="1"/>
    <w:qFormat/>
    <w:rsid w:val="00C45583"/>
    <w:pPr>
      <w:widowControl w:val="0"/>
      <w:autoSpaceDE w:val="0"/>
      <w:autoSpaceDN w:val="0"/>
      <w:spacing w:before="41"/>
      <w:ind w:left="822" w:hanging="360"/>
    </w:pPr>
    <w:rPr>
      <w:sz w:val="22"/>
      <w:szCs w:val="22"/>
      <w:lang w:bidi="ru-RU"/>
    </w:rPr>
  </w:style>
  <w:style w:type="character" w:styleId="HTML1">
    <w:name w:val="HTML Cite"/>
    <w:basedOn w:val="a0"/>
    <w:uiPriority w:val="99"/>
    <w:semiHidden/>
    <w:unhideWhenUsed/>
    <w:rsid w:val="007321F8"/>
    <w:rPr>
      <w:i/>
      <w:iCs/>
    </w:rPr>
  </w:style>
  <w:style w:type="character" w:styleId="aa">
    <w:name w:val="Emphasis"/>
    <w:basedOn w:val="a0"/>
    <w:uiPriority w:val="20"/>
    <w:qFormat/>
    <w:rsid w:val="006C15F3"/>
    <w:rPr>
      <w:i/>
      <w:iCs/>
    </w:rPr>
  </w:style>
  <w:style w:type="character" w:customStyle="1" w:styleId="toctext">
    <w:name w:val="toctext"/>
    <w:basedOn w:val="a0"/>
    <w:rsid w:val="00F55929"/>
  </w:style>
  <w:style w:type="character" w:customStyle="1" w:styleId="reference-accessdate">
    <w:name w:val="reference-accessdate"/>
    <w:basedOn w:val="a0"/>
    <w:rsid w:val="00BA2F81"/>
  </w:style>
  <w:style w:type="character" w:customStyle="1" w:styleId="nowrap">
    <w:name w:val="nowrap"/>
    <w:basedOn w:val="a0"/>
    <w:rsid w:val="00BA2F81"/>
  </w:style>
  <w:style w:type="character" w:customStyle="1" w:styleId="20">
    <w:name w:val="Заголовок 2 Знак"/>
    <w:basedOn w:val="a0"/>
    <w:link w:val="2"/>
    <w:uiPriority w:val="9"/>
    <w:rsid w:val="0084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36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eedictionary.com/radiation" TargetMode="External"/><Relationship Id="rId13" Type="http://schemas.openxmlformats.org/officeDocument/2006/relationships/hyperlink" Target="https://en.wikipedia.org/wiki/Nuclear_reacto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kibayev@gmail.com" TargetMode="External"/><Relationship Id="rId12" Type="http://schemas.openxmlformats.org/officeDocument/2006/relationships/hyperlink" Target="https://en.wikipedia.org/wiki/Nuclear_reacto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orld-nuclear.org/information-library/nuclear-fuel-cycle/nuclear-power-reactors/nuclear-power-reactors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Radia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orld-nuclear.org/information-library/nuclear-fuel-cycle/nuclear-power-reactors/nuclear-power-reactors.aspx" TargetMode="External"/><Relationship Id="rId10" Type="http://schemas.openxmlformats.org/officeDocument/2006/relationships/hyperlink" Target="https://en.wikipedia.org/wiki/Radi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archive.org/web/20070714054650/http:/www.mcw.edu/gcrc/cop/static-fields-cancer-faq/toc.html" TargetMode="External"/><Relationship Id="rId14" Type="http://schemas.openxmlformats.org/officeDocument/2006/relationships/hyperlink" Target="https://en.wikipedia.org/wiki/Nuclear_rea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5081E2-F024-4DDE-9111-83CCC843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2017-10-25T11:25:00Z</cp:lastPrinted>
  <dcterms:created xsi:type="dcterms:W3CDTF">2017-11-15T10:15:00Z</dcterms:created>
  <dcterms:modified xsi:type="dcterms:W3CDTF">2017-11-15T10:15:00Z</dcterms:modified>
</cp:coreProperties>
</file>